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F963C">
      <w:pPr>
        <w:rPr>
          <w:rFonts w:hint="default" w:ascii="Arial" w:hAnsi="Arial" w:cs="Arial"/>
          <w:b/>
          <w:highlight w:val="none"/>
          <w:lang w:val="en-US" w:eastAsia="zh-CN"/>
        </w:rPr>
      </w:pPr>
      <w:r>
        <w:rPr>
          <w:rFonts w:hint="eastAsia"/>
          <w:lang w:val="en-US" w:eastAsia="zh-CN"/>
        </w:rPr>
        <w:t>【</w:t>
      </w:r>
      <w:r>
        <w:rPr>
          <w:rFonts w:ascii="Arial" w:hAnsi="Arial" w:eastAsia="宋体" w:cs="Arial"/>
          <w:b/>
          <w:bCs/>
          <w:i w:val="0"/>
          <w:iCs w:val="0"/>
          <w:caps w:val="0"/>
          <w:color w:val="111111"/>
          <w:spacing w:val="0"/>
          <w:sz w:val="27"/>
          <w:szCs w:val="27"/>
          <w:shd w:val="clear" w:fill="F7F7F7"/>
        </w:rPr>
        <w:t xml:space="preserve">Product display and </w:t>
      </w:r>
      <w:r>
        <w:rPr>
          <w:rFonts w:hint="eastAsia" w:ascii="Arial" w:hAnsi="Arial" w:eastAsia="宋体" w:cs="Arial"/>
          <w:b/>
          <w:bCs/>
          <w:i w:val="0"/>
          <w:iCs w:val="0"/>
          <w:caps w:val="0"/>
          <w:color w:val="111111"/>
          <w:spacing w:val="0"/>
          <w:sz w:val="27"/>
          <w:szCs w:val="27"/>
          <w:shd w:val="clear" w:fill="F7F7F7"/>
        </w:rPr>
        <w:t>I</w:t>
      </w:r>
      <w:r>
        <w:rPr>
          <w:rFonts w:ascii="Arial" w:hAnsi="Arial" w:eastAsia="宋体" w:cs="Arial"/>
          <w:b/>
          <w:bCs/>
          <w:i w:val="0"/>
          <w:iCs w:val="0"/>
          <w:caps w:val="0"/>
          <w:color w:val="111111"/>
          <w:spacing w:val="0"/>
          <w:sz w:val="27"/>
          <w:szCs w:val="27"/>
          <w:shd w:val="clear" w:fill="F7F7F7"/>
        </w:rPr>
        <w:t>ntroduction</w:t>
      </w:r>
      <w:r>
        <w:rPr>
          <w:rFonts w:hint="eastAsia"/>
          <w:lang w:val="en-US" w:eastAsia="zh-CN"/>
        </w:rPr>
        <w:t>】</w:t>
      </w:r>
    </w:p>
    <w:p w14:paraId="459102FF">
      <w:pPr>
        <w:numPr>
          <w:ilvl w:val="0"/>
          <w:numId w:val="0"/>
        </w:numPr>
        <w:ind w:leftChars="0"/>
        <w:rPr>
          <w:rFonts w:hint="default" w:ascii="Arial" w:hAnsi="Arial" w:cs="Arial"/>
          <w:b/>
          <w:highlight w:val="none"/>
          <w:lang w:val="en-US" w:eastAsia="zh-CN"/>
        </w:rPr>
      </w:pPr>
      <w:r>
        <w:rPr>
          <w:rFonts w:hint="eastAsia" w:ascii="Arial" w:hAnsi="Arial" w:cs="Arial"/>
          <w:b/>
          <w:highlight w:val="none"/>
          <w:lang w:val="en-US" w:eastAsia="zh-CN"/>
        </w:rPr>
        <w:drawing>
          <wp:inline distT="0" distB="0" distL="114300" distR="114300">
            <wp:extent cx="1737995" cy="1737995"/>
            <wp:effectExtent l="0" t="0" r="14605" b="14605"/>
            <wp:docPr id="11" name="图片 11" descr="微信图片_20250717144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50717144140"/>
                    <pic:cNvPicPr>
                      <a:picLocks noChangeAspect="1"/>
                    </pic:cNvPicPr>
                  </pic:nvPicPr>
                  <pic:blipFill>
                    <a:blip r:embed="rId4"/>
                    <a:stretch>
                      <a:fillRect/>
                    </a:stretch>
                  </pic:blipFill>
                  <pic:spPr>
                    <a:xfrm>
                      <a:off x="0" y="0"/>
                      <a:ext cx="1737995" cy="1737995"/>
                    </a:xfrm>
                    <a:prstGeom prst="rect">
                      <a:avLst/>
                    </a:prstGeom>
                  </pic:spPr>
                </pic:pic>
              </a:graphicData>
            </a:graphic>
          </wp:inline>
        </w:drawing>
      </w:r>
      <w:r>
        <w:rPr>
          <w:rFonts w:hint="eastAsia" w:ascii="Arial" w:hAnsi="Arial" w:cs="Arial"/>
          <w:b/>
          <w:highlight w:val="none"/>
          <w:lang w:val="en-US" w:eastAsia="zh-CN"/>
        </w:rPr>
        <w:drawing>
          <wp:inline distT="0" distB="0" distL="114300" distR="114300">
            <wp:extent cx="1718945" cy="1718945"/>
            <wp:effectExtent l="0" t="0" r="14605" b="14605"/>
            <wp:docPr id="5" name="图片 5" descr="微信图片_202507171441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07171441511"/>
                    <pic:cNvPicPr>
                      <a:picLocks noChangeAspect="1"/>
                    </pic:cNvPicPr>
                  </pic:nvPicPr>
                  <pic:blipFill>
                    <a:blip r:embed="rId5"/>
                    <a:stretch>
                      <a:fillRect/>
                    </a:stretch>
                  </pic:blipFill>
                  <pic:spPr>
                    <a:xfrm>
                      <a:off x="0" y="0"/>
                      <a:ext cx="1718945" cy="1718945"/>
                    </a:xfrm>
                    <a:prstGeom prst="rect">
                      <a:avLst/>
                    </a:prstGeom>
                  </pic:spPr>
                </pic:pic>
              </a:graphicData>
            </a:graphic>
          </wp:inline>
        </w:drawing>
      </w:r>
      <w:r>
        <w:rPr>
          <w:rFonts w:hint="default" w:ascii="Arial" w:hAnsi="Arial" w:cs="Arial"/>
          <w:b/>
          <w:highlight w:val="none"/>
          <w:lang w:val="en-US" w:eastAsia="zh-CN"/>
        </w:rPr>
        <w:drawing>
          <wp:inline distT="0" distB="0" distL="114300" distR="114300">
            <wp:extent cx="1699895" cy="1699895"/>
            <wp:effectExtent l="0" t="0" r="14605" b="14605"/>
            <wp:docPr id="15" name="图片 15" descr="微信图片_2025071714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50717144151"/>
                    <pic:cNvPicPr>
                      <a:picLocks noChangeAspect="1"/>
                    </pic:cNvPicPr>
                  </pic:nvPicPr>
                  <pic:blipFill>
                    <a:blip r:embed="rId6"/>
                    <a:stretch>
                      <a:fillRect/>
                    </a:stretch>
                  </pic:blipFill>
                  <pic:spPr>
                    <a:xfrm>
                      <a:off x="0" y="0"/>
                      <a:ext cx="1699895" cy="1699895"/>
                    </a:xfrm>
                    <a:prstGeom prst="rect">
                      <a:avLst/>
                    </a:prstGeom>
                  </pic:spPr>
                </pic:pic>
              </a:graphicData>
            </a:graphic>
          </wp:inline>
        </w:drawing>
      </w:r>
      <w:r>
        <w:rPr>
          <w:rFonts w:hint="eastAsia" w:ascii="Arial" w:hAnsi="Arial" w:cs="Arial"/>
          <w:b/>
          <w:highlight w:val="none"/>
          <w:lang w:val="en-US" w:eastAsia="zh-CN"/>
        </w:rPr>
        <w:t xml:space="preserve">     </w:t>
      </w:r>
    </w:p>
    <w:p w14:paraId="7E84F9B8">
      <w:pPr>
        <w:ind w:firstLine="420" w:firstLineChars="200"/>
        <w:rPr>
          <w:rFonts w:ascii="Arial" w:hAnsi="Arial" w:cs="Arial"/>
          <w:b/>
          <w:bCs w:val="0"/>
          <w:i/>
          <w:iCs/>
          <w:highlight w:val="none"/>
        </w:rPr>
      </w:pPr>
      <w:r>
        <w:rPr>
          <w:rFonts w:ascii="Arial" w:hAnsi="Arial" w:cs="Arial"/>
          <w:szCs w:val="21"/>
        </w:rPr>
        <w:t xml:space="preserve">Hydroxyethyl Cellulose is made from natural polymer cellulose, </w:t>
      </w:r>
      <w:r>
        <w:rPr>
          <w:rFonts w:ascii="Arial" w:hAnsi="Arial" w:cs="Arial"/>
        </w:rPr>
        <w:t>is non-ionic water-soluble polymer, it is yellowish or white, odorless and tasteless powdered solid.</w:t>
      </w:r>
    </w:p>
    <w:p w14:paraId="06EAF1AD">
      <w:pPr>
        <w:ind w:firstLine="420" w:firstLineChars="200"/>
        <w:rPr>
          <w:rFonts w:ascii="Arial" w:hAnsi="Arial" w:cs="Arial"/>
        </w:rPr>
      </w:pPr>
      <w:r>
        <w:rPr>
          <w:rFonts w:ascii="Arial" w:hAnsi="Arial" w:cs="Arial"/>
          <w:szCs w:val="21"/>
        </w:rPr>
        <w:t xml:space="preserve">Hydroxyethyl Cellulose is non-ionic water-soluble polymer, it is effective in thickening, bonding, emulsifying, dispersing, stabilizing and water preserving, forming film and providing protective colloid effect in such industries like architectural coating, petroleum and </w:t>
      </w:r>
      <w:bookmarkStart w:id="0" w:name="OLE_LINK9"/>
      <w:r>
        <w:rPr>
          <w:rFonts w:ascii="Arial" w:hAnsi="Arial" w:cs="Arial"/>
          <w:szCs w:val="21"/>
        </w:rPr>
        <w:t>daily-use chemicals</w:t>
      </w:r>
      <w:bookmarkEnd w:id="0"/>
      <w:r>
        <w:rPr>
          <w:rFonts w:ascii="Arial" w:hAnsi="Arial" w:cs="Arial"/>
          <w:szCs w:val="21"/>
        </w:rPr>
        <w:t>. Hydroxyethyl Cellulose is very easily soluble not only in cold water, but also in hot water, and can provide solutions with wider range of viscosity.</w:t>
      </w:r>
      <w:r>
        <w:rPr>
          <w:rFonts w:ascii="Arial" w:hAnsi="Arial" w:cs="Arial"/>
        </w:rPr>
        <w:t>.</w:t>
      </w:r>
    </w:p>
    <w:p w14:paraId="08985912">
      <w:pPr>
        <w:numPr>
          <w:ilvl w:val="0"/>
          <w:numId w:val="0"/>
        </w:numPr>
        <w:ind w:leftChars="0"/>
        <w:rPr>
          <w:rFonts w:hint="eastAsia" w:ascii="Arial" w:hAnsi="Arial" w:cs="Arial"/>
          <w:b/>
          <w:color w:val="auto"/>
          <w:szCs w:val="21"/>
          <w:highlight w:val="none"/>
          <w:lang w:val="en-US" w:eastAsia="zh-CN"/>
        </w:rPr>
      </w:pPr>
      <w:r>
        <w:rPr>
          <w:rFonts w:hint="eastAsia" w:ascii="楷体" w:hAnsi="楷体" w:eastAsia="楷体"/>
          <w:b/>
          <w:bCs/>
          <w:sz w:val="24"/>
          <w:lang w:val="en-US" w:eastAsia="zh-CN"/>
        </w:rPr>
        <w:t>【</w:t>
      </w:r>
      <w:r>
        <w:rPr>
          <w:rFonts w:ascii="宋体" w:hAnsi="宋体" w:cs="Tahoma"/>
          <w:b/>
          <w:bCs/>
          <w:color w:val="000000"/>
          <w:sz w:val="28"/>
          <w:szCs w:val="28"/>
        </w:rPr>
        <w:t>P</w:t>
      </w:r>
      <w:r>
        <w:rPr>
          <w:rFonts w:hint="eastAsia" w:ascii="宋体" w:hAnsi="宋体" w:cs="Tahoma"/>
          <w:b/>
          <w:bCs/>
          <w:color w:val="000000"/>
          <w:sz w:val="28"/>
          <w:szCs w:val="28"/>
        </w:rPr>
        <w:t xml:space="preserve">roduct models and standards: </w:t>
      </w:r>
      <w:r>
        <w:rPr>
          <w:rFonts w:hint="eastAsia" w:ascii="楷体" w:hAnsi="楷体" w:eastAsia="楷体"/>
          <w:b/>
          <w:bCs/>
          <w:sz w:val="24"/>
          <w:lang w:val="en-US" w:eastAsia="zh-CN"/>
        </w:rPr>
        <w:t>】</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7"/>
        <w:gridCol w:w="6905"/>
      </w:tblGrid>
      <w:tr w14:paraId="55D48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53CE1E9F">
            <w:pPr>
              <w:spacing w:line="480" w:lineRule="auto"/>
              <w:jc w:val="center"/>
              <w:rPr>
                <w:rFonts w:ascii="Arial" w:hAnsi="Arial" w:cs="Arial"/>
                <w:b/>
                <w:szCs w:val="21"/>
              </w:rPr>
            </w:pPr>
            <w:r>
              <w:rPr>
                <w:rFonts w:ascii="Arial" w:hAnsi="Arial" w:cs="Arial"/>
                <w:b/>
                <w:bCs/>
                <w:kern w:val="0"/>
                <w:szCs w:val="21"/>
              </w:rPr>
              <w:t xml:space="preserve"> Item</w:t>
            </w:r>
          </w:p>
        </w:tc>
        <w:tc>
          <w:tcPr>
            <w:tcW w:w="6905" w:type="dxa"/>
            <w:tcBorders>
              <w:top w:val="single" w:color="auto" w:sz="4" w:space="0"/>
              <w:left w:val="single" w:color="auto" w:sz="4" w:space="0"/>
              <w:bottom w:val="single" w:color="auto" w:sz="4" w:space="0"/>
              <w:right w:val="single" w:color="auto" w:sz="4" w:space="0"/>
            </w:tcBorders>
            <w:vAlign w:val="center"/>
          </w:tcPr>
          <w:p w14:paraId="48EEA883">
            <w:pPr>
              <w:spacing w:line="480" w:lineRule="auto"/>
              <w:jc w:val="center"/>
              <w:rPr>
                <w:rFonts w:ascii="Arial" w:hAnsi="Arial" w:cs="Arial"/>
                <w:b/>
                <w:bCs/>
                <w:kern w:val="0"/>
                <w:szCs w:val="21"/>
              </w:rPr>
            </w:pPr>
            <w:r>
              <w:rPr>
                <w:rFonts w:ascii="Arial" w:hAnsi="Arial" w:cs="Arial"/>
                <w:b/>
                <w:szCs w:val="21"/>
              </w:rPr>
              <w:t xml:space="preserve"> </w:t>
            </w:r>
            <w:r>
              <w:rPr>
                <w:rFonts w:ascii="Arial" w:hAnsi="Arial" w:cs="Arial"/>
                <w:b/>
                <w:bCs/>
                <w:kern w:val="0"/>
                <w:szCs w:val="21"/>
              </w:rPr>
              <w:t>Details</w:t>
            </w:r>
          </w:p>
        </w:tc>
      </w:tr>
      <w:tr w14:paraId="08C4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0DF7D240">
            <w:pPr>
              <w:jc w:val="center"/>
              <w:rPr>
                <w:rFonts w:ascii="Arial" w:hAnsi="Arial" w:cs="Arial"/>
                <w:sz w:val="18"/>
                <w:szCs w:val="18"/>
              </w:rPr>
            </w:pPr>
            <w:r>
              <w:rPr>
                <w:rFonts w:ascii="Arial" w:hAnsi="Arial" w:cs="Arial"/>
                <w:kern w:val="0"/>
                <w:sz w:val="18"/>
                <w:szCs w:val="18"/>
              </w:rPr>
              <w:t>Appearance</w:t>
            </w:r>
          </w:p>
        </w:tc>
        <w:tc>
          <w:tcPr>
            <w:tcW w:w="6905" w:type="dxa"/>
            <w:tcBorders>
              <w:top w:val="single" w:color="auto" w:sz="4" w:space="0"/>
              <w:left w:val="single" w:color="auto" w:sz="4" w:space="0"/>
              <w:bottom w:val="single" w:color="auto" w:sz="4" w:space="0"/>
              <w:right w:val="single" w:color="auto" w:sz="4" w:space="0"/>
            </w:tcBorders>
            <w:vAlign w:val="center"/>
          </w:tcPr>
          <w:p w14:paraId="5EDA31E1">
            <w:pPr>
              <w:jc w:val="center"/>
              <w:rPr>
                <w:rFonts w:ascii="Arial" w:hAnsi="Arial" w:cs="Arial"/>
                <w:sz w:val="18"/>
                <w:szCs w:val="18"/>
              </w:rPr>
            </w:pPr>
            <w:r>
              <w:rPr>
                <w:rFonts w:ascii="Arial" w:hAnsi="Arial" w:cs="Arial"/>
                <w:kern w:val="0"/>
                <w:sz w:val="18"/>
                <w:szCs w:val="18"/>
              </w:rPr>
              <w:t>yellowish or white odorless and tasteless granular powder.</w:t>
            </w:r>
          </w:p>
        </w:tc>
      </w:tr>
      <w:tr w14:paraId="3D377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06E97041">
            <w:pPr>
              <w:jc w:val="center"/>
              <w:rPr>
                <w:rFonts w:ascii="Arial" w:hAnsi="Arial" w:cs="Arial"/>
                <w:sz w:val="18"/>
                <w:szCs w:val="18"/>
              </w:rPr>
            </w:pPr>
            <w:r>
              <w:rPr>
                <w:rFonts w:ascii="Arial" w:hAnsi="Arial" w:cs="Arial"/>
                <w:kern w:val="0"/>
                <w:sz w:val="18"/>
                <w:szCs w:val="18"/>
              </w:rPr>
              <w:t>Viscosity</w:t>
            </w:r>
          </w:p>
        </w:tc>
        <w:tc>
          <w:tcPr>
            <w:tcW w:w="6905" w:type="dxa"/>
            <w:tcBorders>
              <w:top w:val="single" w:color="auto" w:sz="4" w:space="0"/>
              <w:left w:val="single" w:color="auto" w:sz="4" w:space="0"/>
              <w:bottom w:val="single" w:color="auto" w:sz="4" w:space="0"/>
              <w:right w:val="single" w:color="auto" w:sz="4" w:space="0"/>
            </w:tcBorders>
            <w:vAlign w:val="center"/>
          </w:tcPr>
          <w:p w14:paraId="362CC93B">
            <w:pPr>
              <w:jc w:val="center"/>
              <w:rPr>
                <w:rFonts w:ascii="Arial" w:hAnsi="Arial" w:cs="Arial"/>
                <w:sz w:val="18"/>
                <w:szCs w:val="18"/>
              </w:rPr>
            </w:pPr>
            <w:r>
              <w:rPr>
                <w:rFonts w:ascii="Arial" w:hAnsi="Arial" w:cs="Arial"/>
                <w:kern w:val="0"/>
                <w:sz w:val="18"/>
                <w:szCs w:val="18"/>
              </w:rPr>
              <w:t>See viscosity specification sheet</w:t>
            </w:r>
          </w:p>
        </w:tc>
      </w:tr>
      <w:tr w14:paraId="2F794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16F4BC18">
            <w:pPr>
              <w:jc w:val="center"/>
              <w:rPr>
                <w:rFonts w:ascii="Arial" w:hAnsi="Arial" w:cs="Arial"/>
                <w:sz w:val="18"/>
                <w:szCs w:val="18"/>
              </w:rPr>
            </w:pPr>
            <w:r>
              <w:rPr>
                <w:rFonts w:ascii="Arial" w:hAnsi="Arial" w:cs="Arial"/>
                <w:kern w:val="0"/>
                <w:sz w:val="18"/>
                <w:szCs w:val="18"/>
              </w:rPr>
              <w:t>Moisture, % ≤</w:t>
            </w:r>
          </w:p>
        </w:tc>
        <w:tc>
          <w:tcPr>
            <w:tcW w:w="6905" w:type="dxa"/>
            <w:tcBorders>
              <w:top w:val="single" w:color="auto" w:sz="4" w:space="0"/>
              <w:left w:val="single" w:color="auto" w:sz="4" w:space="0"/>
              <w:bottom w:val="single" w:color="auto" w:sz="4" w:space="0"/>
              <w:right w:val="single" w:color="auto" w:sz="4" w:space="0"/>
            </w:tcBorders>
            <w:vAlign w:val="center"/>
          </w:tcPr>
          <w:p w14:paraId="0434F15E">
            <w:pPr>
              <w:jc w:val="center"/>
              <w:rPr>
                <w:rFonts w:ascii="Arial" w:hAnsi="Arial" w:cs="Arial"/>
                <w:sz w:val="18"/>
                <w:szCs w:val="18"/>
              </w:rPr>
            </w:pPr>
            <w:r>
              <w:rPr>
                <w:rFonts w:ascii="Arial" w:hAnsi="Arial" w:cs="Arial"/>
                <w:sz w:val="18"/>
                <w:szCs w:val="18"/>
              </w:rPr>
              <w:t>5</w:t>
            </w:r>
          </w:p>
        </w:tc>
      </w:tr>
      <w:tr w14:paraId="6A89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193F05E4">
            <w:pPr>
              <w:jc w:val="center"/>
              <w:rPr>
                <w:rFonts w:ascii="Arial" w:hAnsi="Arial" w:cs="Arial"/>
                <w:sz w:val="18"/>
                <w:szCs w:val="18"/>
              </w:rPr>
            </w:pPr>
            <w:bookmarkStart w:id="1" w:name="OLE_LINK2"/>
            <w:r>
              <w:rPr>
                <w:rFonts w:ascii="Arial" w:hAnsi="Arial" w:cs="Arial"/>
                <w:kern w:val="0"/>
                <w:sz w:val="18"/>
                <w:szCs w:val="18"/>
              </w:rPr>
              <w:t>Ash, %</w:t>
            </w:r>
            <w:bookmarkEnd w:id="1"/>
            <w:r>
              <w:rPr>
                <w:rFonts w:ascii="Arial" w:hAnsi="Arial" w:cs="Arial"/>
                <w:kern w:val="0"/>
                <w:sz w:val="18"/>
                <w:szCs w:val="18"/>
              </w:rPr>
              <w:t xml:space="preserve"> ≤</w:t>
            </w:r>
          </w:p>
        </w:tc>
        <w:tc>
          <w:tcPr>
            <w:tcW w:w="6905" w:type="dxa"/>
            <w:tcBorders>
              <w:top w:val="single" w:color="auto" w:sz="4" w:space="0"/>
              <w:left w:val="single" w:color="auto" w:sz="4" w:space="0"/>
              <w:bottom w:val="single" w:color="auto" w:sz="4" w:space="0"/>
              <w:right w:val="single" w:color="auto" w:sz="4" w:space="0"/>
            </w:tcBorders>
            <w:vAlign w:val="center"/>
          </w:tcPr>
          <w:p w14:paraId="1AA0D219">
            <w:pPr>
              <w:jc w:val="center"/>
              <w:rPr>
                <w:rFonts w:ascii="Arial" w:hAnsi="Arial" w:cs="Arial"/>
                <w:sz w:val="18"/>
                <w:szCs w:val="18"/>
              </w:rPr>
            </w:pPr>
            <w:r>
              <w:rPr>
                <w:rFonts w:ascii="Arial" w:hAnsi="Arial" w:cs="Arial"/>
                <w:sz w:val="18"/>
                <w:szCs w:val="18"/>
              </w:rPr>
              <w:t>5</w:t>
            </w:r>
          </w:p>
        </w:tc>
      </w:tr>
      <w:tr w14:paraId="1076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2B5B1871">
            <w:pPr>
              <w:jc w:val="center"/>
              <w:rPr>
                <w:rFonts w:ascii="Arial" w:hAnsi="Arial" w:cs="Arial"/>
                <w:sz w:val="18"/>
                <w:szCs w:val="18"/>
              </w:rPr>
            </w:pPr>
            <w:r>
              <w:rPr>
                <w:rFonts w:ascii="Arial" w:hAnsi="Arial" w:cs="Arial"/>
                <w:kern w:val="0"/>
                <w:sz w:val="18"/>
                <w:szCs w:val="18"/>
              </w:rPr>
              <w:t xml:space="preserve">pH </w:t>
            </w:r>
            <w:bookmarkStart w:id="2" w:name="OLE_LINK3"/>
            <w:r>
              <w:rPr>
                <w:rFonts w:ascii="Arial" w:hAnsi="Arial" w:cs="Arial"/>
                <w:kern w:val="0"/>
                <w:sz w:val="18"/>
                <w:szCs w:val="18"/>
              </w:rPr>
              <w:t>(</w:t>
            </w:r>
            <w:bookmarkEnd w:id="2"/>
            <w:r>
              <w:rPr>
                <w:rFonts w:ascii="Arial" w:hAnsi="Arial" w:cs="Arial"/>
                <w:kern w:val="0"/>
                <w:sz w:val="18"/>
                <w:szCs w:val="18"/>
              </w:rPr>
              <w:t>1%, solution)</w:t>
            </w:r>
          </w:p>
        </w:tc>
        <w:tc>
          <w:tcPr>
            <w:tcW w:w="6905" w:type="dxa"/>
            <w:tcBorders>
              <w:top w:val="single" w:color="auto" w:sz="4" w:space="0"/>
              <w:left w:val="single" w:color="auto" w:sz="4" w:space="0"/>
              <w:bottom w:val="single" w:color="auto" w:sz="4" w:space="0"/>
              <w:right w:val="single" w:color="auto" w:sz="4" w:space="0"/>
            </w:tcBorders>
            <w:vAlign w:val="center"/>
          </w:tcPr>
          <w:p w14:paraId="4271EAFB">
            <w:pPr>
              <w:jc w:val="center"/>
              <w:rPr>
                <w:rFonts w:ascii="Arial" w:hAnsi="Arial" w:cs="Arial"/>
                <w:sz w:val="18"/>
                <w:szCs w:val="18"/>
              </w:rPr>
            </w:pPr>
            <w:r>
              <w:rPr>
                <w:rFonts w:ascii="Arial" w:hAnsi="Arial" w:cs="Arial"/>
                <w:sz w:val="18"/>
                <w:szCs w:val="18"/>
              </w:rPr>
              <w:t>6</w:t>
            </w:r>
            <w:r>
              <w:rPr>
                <w:rFonts w:hint="eastAsia" w:ascii="Arial" w:hAnsi="Arial" w:cs="Arial"/>
                <w:sz w:val="18"/>
                <w:szCs w:val="18"/>
              </w:rPr>
              <w:t>～</w:t>
            </w:r>
            <w:r>
              <w:rPr>
                <w:rFonts w:ascii="Arial" w:hAnsi="Arial" w:cs="Arial"/>
                <w:sz w:val="18"/>
                <w:szCs w:val="18"/>
              </w:rPr>
              <w:t>8.5</w:t>
            </w:r>
          </w:p>
        </w:tc>
      </w:tr>
    </w:tbl>
    <w:p w14:paraId="2BFCA7CB">
      <w:pPr>
        <w:rPr>
          <w:rFonts w:ascii="Arial" w:hAnsi="Arial" w:cs="Arial"/>
          <w:b/>
          <w:bCs w:val="0"/>
          <w:i/>
          <w:iCs/>
          <w:highlight w:val="none"/>
        </w:rPr>
      </w:pPr>
    </w:p>
    <w:p w14:paraId="149EBBB8">
      <w:pPr>
        <w:ind w:left="569" w:leftChars="271" w:firstLine="1684" w:firstLineChars="799"/>
        <w:rPr>
          <w:rFonts w:ascii="Arial" w:hAnsi="Arial" w:cs="Arial"/>
        </w:rPr>
      </w:pPr>
      <w:r>
        <w:rPr>
          <w:rFonts w:ascii="Arial" w:hAnsi="Arial" w:cs="Arial"/>
          <w:b/>
          <w:szCs w:val="21"/>
        </w:rPr>
        <w:t>Viscosity specification code sheet</w:t>
      </w:r>
      <w:r>
        <w:rPr>
          <w:rFonts w:hint="eastAsia" w:ascii="Arial" w:hAnsi="Arial" w:cs="Arial"/>
          <w:b/>
          <w:szCs w:val="21"/>
        </w:rPr>
        <w:t>（</w:t>
      </w:r>
      <w:r>
        <w:rPr>
          <w:rFonts w:ascii="Arial" w:hAnsi="Arial" w:cs="Arial"/>
          <w:b/>
          <w:szCs w:val="21"/>
        </w:rPr>
        <w:t>25</w:t>
      </w:r>
      <w:r>
        <w:rPr>
          <w:rFonts w:hint="eastAsia" w:ascii="Arial" w:hAnsi="宋体" w:cs="Arial"/>
          <w:b/>
          <w:szCs w:val="21"/>
        </w:rPr>
        <w:t>℃</w:t>
      </w:r>
      <w:r>
        <w:rPr>
          <w:rFonts w:ascii="Arial" w:hAnsi="Arial" w:cs="Arial"/>
          <w:b/>
          <w:szCs w:val="21"/>
        </w:rPr>
        <w:t>, LVD</w:t>
      </w:r>
      <w:r>
        <w:rPr>
          <w:rFonts w:hint="eastAsia" w:ascii="Arial" w:hAnsi="Arial" w:cs="Arial"/>
          <w:b/>
          <w:szCs w:val="21"/>
        </w:rPr>
        <w:t>）</w:t>
      </w:r>
    </w:p>
    <w:tbl>
      <w:tblPr>
        <w:tblStyle w:val="2"/>
        <w:tblW w:w="5550" w:type="pct"/>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617"/>
        <w:gridCol w:w="1621"/>
        <w:gridCol w:w="1617"/>
        <w:gridCol w:w="1438"/>
        <w:gridCol w:w="1796"/>
      </w:tblGrid>
      <w:tr w14:paraId="20720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724" w:type="pct"/>
            <w:tcBorders>
              <w:top w:val="single" w:color="auto" w:sz="4" w:space="0"/>
              <w:left w:val="single" w:color="auto" w:sz="4" w:space="0"/>
              <w:bottom w:val="single" w:color="auto" w:sz="4" w:space="0"/>
              <w:right w:val="single" w:color="auto" w:sz="4" w:space="0"/>
            </w:tcBorders>
            <w:vAlign w:val="center"/>
          </w:tcPr>
          <w:p w14:paraId="38E2F361">
            <w:pPr>
              <w:jc w:val="center"/>
              <w:rPr>
                <w:rFonts w:ascii="Arial" w:hAnsi="Arial" w:cs="Arial"/>
                <w:b/>
                <w:sz w:val="18"/>
                <w:szCs w:val="18"/>
              </w:rPr>
            </w:pPr>
            <w:r>
              <w:rPr>
                <w:rFonts w:ascii="Arial" w:hAnsi="Arial" w:cs="Arial"/>
                <w:b/>
                <w:sz w:val="18"/>
                <w:szCs w:val="18"/>
              </w:rPr>
              <w:t>Viscosity specification</w:t>
            </w:r>
          </w:p>
        </w:tc>
        <w:tc>
          <w:tcPr>
            <w:tcW w:w="855" w:type="pct"/>
            <w:tcBorders>
              <w:top w:val="single" w:color="auto" w:sz="4" w:space="0"/>
              <w:left w:val="single" w:color="auto" w:sz="4" w:space="0"/>
              <w:bottom w:val="single" w:color="auto" w:sz="4" w:space="0"/>
              <w:right w:val="single" w:color="auto" w:sz="4" w:space="0"/>
            </w:tcBorders>
            <w:vAlign w:val="center"/>
          </w:tcPr>
          <w:p w14:paraId="08491AB5">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1%</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857" w:type="pct"/>
            <w:tcBorders>
              <w:top w:val="single" w:color="auto" w:sz="4" w:space="0"/>
              <w:left w:val="single" w:color="auto" w:sz="4" w:space="0"/>
              <w:bottom w:val="single" w:color="auto" w:sz="4" w:space="0"/>
              <w:right w:val="single" w:color="auto" w:sz="4" w:space="0"/>
            </w:tcBorders>
            <w:vAlign w:val="center"/>
          </w:tcPr>
          <w:p w14:paraId="489EB4AC">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2%</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855" w:type="pct"/>
            <w:tcBorders>
              <w:top w:val="single" w:color="auto" w:sz="4" w:space="0"/>
              <w:left w:val="single" w:color="auto" w:sz="4" w:space="0"/>
              <w:bottom w:val="single" w:color="auto" w:sz="4" w:space="0"/>
              <w:right w:val="single" w:color="auto" w:sz="4" w:space="0"/>
            </w:tcBorders>
            <w:vAlign w:val="center"/>
          </w:tcPr>
          <w:p w14:paraId="2ABCBB4A">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5%</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760" w:type="pct"/>
            <w:tcBorders>
              <w:top w:val="single" w:color="auto" w:sz="4" w:space="0"/>
              <w:left w:val="single" w:color="auto" w:sz="4" w:space="0"/>
              <w:bottom w:val="single" w:color="auto" w:sz="4" w:space="0"/>
              <w:right w:val="single" w:color="auto" w:sz="4" w:space="0"/>
            </w:tcBorders>
            <w:vAlign w:val="center"/>
          </w:tcPr>
          <w:p w14:paraId="77713CC2">
            <w:pPr>
              <w:jc w:val="center"/>
              <w:rPr>
                <w:rFonts w:ascii="Arial" w:hAnsi="Arial" w:cs="Arial"/>
                <w:b/>
                <w:sz w:val="18"/>
                <w:szCs w:val="18"/>
              </w:rPr>
            </w:pPr>
            <w:r>
              <w:rPr>
                <w:rFonts w:ascii="Arial" w:hAnsi="Arial" w:cs="Arial"/>
                <w:b/>
                <w:sz w:val="18"/>
                <w:szCs w:val="18"/>
              </w:rPr>
              <w:t>Rotor number</w:t>
            </w:r>
          </w:p>
        </w:tc>
        <w:tc>
          <w:tcPr>
            <w:tcW w:w="949" w:type="pct"/>
            <w:tcBorders>
              <w:top w:val="single" w:color="auto" w:sz="4" w:space="0"/>
              <w:left w:val="single" w:color="auto" w:sz="4" w:space="0"/>
              <w:bottom w:val="single" w:color="auto" w:sz="4" w:space="0"/>
              <w:right w:val="single" w:color="auto" w:sz="4" w:space="0"/>
            </w:tcBorders>
            <w:vAlign w:val="center"/>
          </w:tcPr>
          <w:p w14:paraId="6DC4967E">
            <w:pPr>
              <w:jc w:val="center"/>
              <w:rPr>
                <w:rFonts w:ascii="Arial" w:hAnsi="Arial" w:cs="Arial"/>
                <w:b/>
                <w:sz w:val="18"/>
                <w:szCs w:val="18"/>
              </w:rPr>
            </w:pPr>
            <w:r>
              <w:rPr>
                <w:rFonts w:ascii="Arial" w:hAnsi="Arial" w:cs="Arial"/>
                <w:b/>
                <w:sz w:val="18"/>
                <w:szCs w:val="18"/>
              </w:rPr>
              <w:t>Rotate speed</w:t>
            </w:r>
            <w:r>
              <w:rPr>
                <w:rFonts w:hint="eastAsia" w:ascii="Arial" w:hAnsi="Arial" w:cs="Arial"/>
                <w:b/>
                <w:sz w:val="18"/>
                <w:szCs w:val="18"/>
              </w:rPr>
              <w:t>，</w:t>
            </w:r>
            <w:r>
              <w:rPr>
                <w:rFonts w:ascii="Arial" w:hAnsi="Arial" w:cs="Arial"/>
                <w:b/>
                <w:sz w:val="18"/>
                <w:szCs w:val="18"/>
              </w:rPr>
              <w:t>rpm</w:t>
            </w:r>
          </w:p>
        </w:tc>
      </w:tr>
      <w:tr w14:paraId="1CD4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5D05C610">
            <w:pPr>
              <w:ind w:firstLine="90" w:firstLineChars="50"/>
              <w:jc w:val="center"/>
              <w:rPr>
                <w:rFonts w:ascii="Arial" w:hAnsi="Arial" w:cs="Arial"/>
                <w:sz w:val="18"/>
                <w:szCs w:val="18"/>
                <w:lang w:val="en-GB"/>
              </w:rPr>
            </w:pPr>
            <w:r>
              <w:rPr>
                <w:rFonts w:ascii="Arial" w:hAnsi="Arial" w:cs="Arial"/>
                <w:sz w:val="18"/>
                <w:szCs w:val="18"/>
                <w:lang w:val="en-GB"/>
              </w:rPr>
              <w:t>09</w:t>
            </w:r>
          </w:p>
        </w:tc>
        <w:tc>
          <w:tcPr>
            <w:tcW w:w="855" w:type="pct"/>
            <w:tcBorders>
              <w:top w:val="single" w:color="auto" w:sz="4" w:space="0"/>
              <w:left w:val="single" w:color="auto" w:sz="4" w:space="0"/>
              <w:bottom w:val="single" w:color="auto" w:sz="4" w:space="0"/>
              <w:right w:val="single" w:color="auto" w:sz="4" w:space="0"/>
            </w:tcBorders>
          </w:tcPr>
          <w:p w14:paraId="7B3ECAC0">
            <w:pPr>
              <w:jc w:val="center"/>
              <w:rPr>
                <w:rFonts w:ascii="Arial" w:hAnsi="Arial" w:cs="Arial"/>
                <w:bCs/>
                <w:sz w:val="18"/>
                <w:szCs w:val="18"/>
                <w:lang w:val="en-GB"/>
              </w:rPr>
            </w:pPr>
          </w:p>
        </w:tc>
        <w:tc>
          <w:tcPr>
            <w:tcW w:w="857" w:type="pct"/>
            <w:tcBorders>
              <w:top w:val="single" w:color="auto" w:sz="4" w:space="0"/>
              <w:left w:val="single" w:color="auto" w:sz="4" w:space="0"/>
              <w:bottom w:val="single" w:color="auto" w:sz="4" w:space="0"/>
              <w:right w:val="single" w:color="auto" w:sz="4" w:space="0"/>
            </w:tcBorders>
            <w:vAlign w:val="center"/>
          </w:tcPr>
          <w:p w14:paraId="76ED747D">
            <w:pPr>
              <w:jc w:val="center"/>
              <w:rPr>
                <w:rFonts w:ascii="Arial" w:hAnsi="Arial" w:cs="Arial"/>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7B4FFCC1">
            <w:pPr>
              <w:jc w:val="center"/>
              <w:rPr>
                <w:rFonts w:ascii="Arial" w:hAnsi="Arial" w:cs="Arial"/>
                <w:sz w:val="18"/>
                <w:szCs w:val="18"/>
                <w:lang w:val="en-GB"/>
              </w:rPr>
            </w:pPr>
            <w:r>
              <w:rPr>
                <w:rFonts w:ascii="Arial" w:hAnsi="Arial" w:cs="Arial"/>
                <w:sz w:val="18"/>
                <w:szCs w:val="18"/>
                <w:lang w:val="en-GB"/>
              </w:rPr>
              <w:t>75</w:t>
            </w:r>
            <w:r>
              <w:rPr>
                <w:rFonts w:ascii="Arial" w:cs="Arial"/>
                <w:sz w:val="18"/>
                <w:szCs w:val="18"/>
                <w:lang w:val="en-GB"/>
              </w:rPr>
              <w:t>-</w:t>
            </w:r>
            <w:r>
              <w:rPr>
                <w:rFonts w:ascii="Arial" w:hAnsi="Arial" w:cs="Arial"/>
                <w:sz w:val="18"/>
                <w:szCs w:val="18"/>
                <w:lang w:val="en-GB"/>
              </w:rPr>
              <w:t>150</w:t>
            </w:r>
          </w:p>
        </w:tc>
        <w:tc>
          <w:tcPr>
            <w:tcW w:w="760" w:type="pct"/>
            <w:tcBorders>
              <w:top w:val="single" w:color="auto" w:sz="4" w:space="0"/>
              <w:left w:val="single" w:color="auto" w:sz="4" w:space="0"/>
              <w:bottom w:val="single" w:color="auto" w:sz="4" w:space="0"/>
              <w:right w:val="single" w:color="auto" w:sz="4" w:space="0"/>
            </w:tcBorders>
          </w:tcPr>
          <w:p w14:paraId="26444EA5">
            <w:pPr>
              <w:jc w:val="center"/>
              <w:rPr>
                <w:rFonts w:ascii="Arial" w:hAnsi="Arial" w:cs="Arial"/>
                <w:sz w:val="18"/>
                <w:szCs w:val="18"/>
                <w:lang w:val="en-GB"/>
              </w:rPr>
            </w:pPr>
            <w:r>
              <w:rPr>
                <w:rFonts w:ascii="Arial" w:hAnsi="Arial" w:cs="Arial"/>
                <w:sz w:val="18"/>
                <w:szCs w:val="18"/>
                <w:lang w:val="en-GB"/>
              </w:rPr>
              <w:t>1</w:t>
            </w:r>
          </w:p>
        </w:tc>
        <w:tc>
          <w:tcPr>
            <w:tcW w:w="949" w:type="pct"/>
            <w:tcBorders>
              <w:top w:val="single" w:color="auto" w:sz="4" w:space="0"/>
              <w:left w:val="single" w:color="auto" w:sz="4" w:space="0"/>
              <w:bottom w:val="single" w:color="auto" w:sz="4" w:space="0"/>
              <w:right w:val="single" w:color="auto" w:sz="4" w:space="0"/>
            </w:tcBorders>
          </w:tcPr>
          <w:p w14:paraId="56035136">
            <w:pPr>
              <w:jc w:val="center"/>
              <w:rPr>
                <w:rFonts w:ascii="Arial" w:hAnsi="Arial" w:cs="Arial"/>
                <w:sz w:val="18"/>
                <w:szCs w:val="18"/>
                <w:lang w:val="en-GB"/>
              </w:rPr>
            </w:pPr>
            <w:r>
              <w:rPr>
                <w:rFonts w:ascii="Arial" w:hAnsi="Arial" w:cs="Arial"/>
                <w:sz w:val="18"/>
                <w:szCs w:val="18"/>
                <w:lang w:val="en-GB"/>
              </w:rPr>
              <w:t>30</w:t>
            </w:r>
          </w:p>
        </w:tc>
      </w:tr>
      <w:tr w14:paraId="466C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3E1AE86">
            <w:pPr>
              <w:ind w:firstLine="90" w:firstLineChars="50"/>
              <w:jc w:val="center"/>
              <w:rPr>
                <w:rFonts w:ascii="Arial" w:hAnsi="Arial" w:cs="Arial"/>
                <w:sz w:val="18"/>
                <w:szCs w:val="18"/>
                <w:lang w:val="en-GB"/>
              </w:rPr>
            </w:pPr>
            <w:r>
              <w:rPr>
                <w:rFonts w:ascii="Arial" w:hAnsi="Arial" w:cs="Arial"/>
                <w:sz w:val="18"/>
                <w:szCs w:val="18"/>
                <w:lang w:val="en-GB"/>
              </w:rPr>
              <w:t>3</w:t>
            </w:r>
          </w:p>
        </w:tc>
        <w:tc>
          <w:tcPr>
            <w:tcW w:w="855" w:type="pct"/>
            <w:tcBorders>
              <w:top w:val="single" w:color="auto" w:sz="4" w:space="0"/>
              <w:left w:val="single" w:color="auto" w:sz="4" w:space="0"/>
              <w:bottom w:val="single" w:color="auto" w:sz="4" w:space="0"/>
              <w:right w:val="single" w:color="auto" w:sz="4" w:space="0"/>
            </w:tcBorders>
          </w:tcPr>
          <w:p w14:paraId="71A782EF">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285EFA9F">
            <w:pPr>
              <w:jc w:val="center"/>
              <w:rPr>
                <w:rFonts w:ascii="Arial" w:hAnsi="Arial" w:cs="Arial"/>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3371EFE2">
            <w:pPr>
              <w:jc w:val="center"/>
              <w:rPr>
                <w:rFonts w:ascii="Arial" w:hAnsi="Arial" w:cs="Arial"/>
                <w:sz w:val="18"/>
                <w:szCs w:val="18"/>
                <w:lang w:val="en-GB"/>
              </w:rPr>
            </w:pPr>
            <w:r>
              <w:rPr>
                <w:rFonts w:ascii="Arial" w:hAnsi="Arial" w:cs="Arial"/>
                <w:sz w:val="18"/>
                <w:szCs w:val="18"/>
                <w:lang w:val="en-GB"/>
              </w:rPr>
              <w:t>150-400</w:t>
            </w:r>
          </w:p>
        </w:tc>
        <w:tc>
          <w:tcPr>
            <w:tcW w:w="760" w:type="pct"/>
            <w:tcBorders>
              <w:top w:val="single" w:color="auto" w:sz="4" w:space="0"/>
              <w:left w:val="single" w:color="auto" w:sz="4" w:space="0"/>
              <w:bottom w:val="single" w:color="auto" w:sz="4" w:space="0"/>
              <w:right w:val="single" w:color="auto" w:sz="4" w:space="0"/>
            </w:tcBorders>
          </w:tcPr>
          <w:p w14:paraId="2D40FE4E">
            <w:pPr>
              <w:jc w:val="center"/>
              <w:rPr>
                <w:rFonts w:ascii="Arial" w:hAnsi="Arial" w:cs="Arial"/>
                <w:sz w:val="18"/>
                <w:szCs w:val="18"/>
                <w:lang w:val="en-GB"/>
              </w:rPr>
            </w:pPr>
            <w:r>
              <w:rPr>
                <w:rFonts w:ascii="Arial" w:hAnsi="Arial" w:cs="Arial"/>
                <w:sz w:val="18"/>
                <w:szCs w:val="18"/>
                <w:lang w:val="en-GB"/>
              </w:rPr>
              <w:t>2</w:t>
            </w:r>
          </w:p>
        </w:tc>
        <w:tc>
          <w:tcPr>
            <w:tcW w:w="949" w:type="pct"/>
            <w:tcBorders>
              <w:top w:val="single" w:color="auto" w:sz="4" w:space="0"/>
              <w:left w:val="single" w:color="auto" w:sz="4" w:space="0"/>
              <w:bottom w:val="single" w:color="auto" w:sz="4" w:space="0"/>
              <w:right w:val="single" w:color="auto" w:sz="4" w:space="0"/>
            </w:tcBorders>
          </w:tcPr>
          <w:p w14:paraId="0FD320AF">
            <w:pPr>
              <w:jc w:val="center"/>
              <w:rPr>
                <w:rFonts w:ascii="Arial" w:hAnsi="Arial" w:cs="Arial"/>
                <w:sz w:val="18"/>
                <w:szCs w:val="18"/>
                <w:lang w:val="en-GB"/>
              </w:rPr>
            </w:pPr>
            <w:r>
              <w:rPr>
                <w:rFonts w:ascii="Arial" w:hAnsi="Arial" w:cs="Arial"/>
                <w:sz w:val="18"/>
                <w:szCs w:val="18"/>
                <w:lang w:val="en-GB"/>
              </w:rPr>
              <w:t>60</w:t>
            </w:r>
          </w:p>
        </w:tc>
      </w:tr>
      <w:tr w14:paraId="3FC50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2D1B6ABF">
            <w:pPr>
              <w:ind w:firstLine="90" w:firstLineChars="50"/>
              <w:jc w:val="center"/>
              <w:rPr>
                <w:rFonts w:ascii="Arial" w:hAnsi="Arial" w:cs="Arial"/>
                <w:bCs/>
                <w:sz w:val="18"/>
                <w:szCs w:val="18"/>
                <w:lang w:val="en-GB"/>
              </w:rPr>
            </w:pPr>
            <w:r>
              <w:rPr>
                <w:rFonts w:ascii="Arial" w:hAnsi="Arial" w:cs="Arial"/>
                <w:bCs/>
                <w:sz w:val="18"/>
                <w:szCs w:val="18"/>
                <w:lang w:val="en-GB"/>
              </w:rPr>
              <w:t>40</w:t>
            </w:r>
          </w:p>
        </w:tc>
        <w:tc>
          <w:tcPr>
            <w:tcW w:w="855" w:type="pct"/>
            <w:tcBorders>
              <w:top w:val="single" w:color="auto" w:sz="4" w:space="0"/>
              <w:left w:val="single" w:color="auto" w:sz="4" w:space="0"/>
              <w:bottom w:val="single" w:color="auto" w:sz="4" w:space="0"/>
              <w:right w:val="single" w:color="auto" w:sz="4" w:space="0"/>
            </w:tcBorders>
            <w:vAlign w:val="center"/>
          </w:tcPr>
          <w:p w14:paraId="46ED0D57">
            <w:pPr>
              <w:jc w:val="center"/>
              <w:rPr>
                <w:rFonts w:ascii="Arial" w:hAnsi="Arial" w:cs="Arial"/>
                <w:bCs/>
                <w:sz w:val="18"/>
                <w:szCs w:val="18"/>
                <w:lang w:val="en-GB"/>
              </w:rPr>
            </w:pPr>
          </w:p>
        </w:tc>
        <w:tc>
          <w:tcPr>
            <w:tcW w:w="857" w:type="pct"/>
            <w:tcBorders>
              <w:top w:val="single" w:color="auto" w:sz="4" w:space="0"/>
              <w:left w:val="single" w:color="auto" w:sz="4" w:space="0"/>
              <w:bottom w:val="single" w:color="auto" w:sz="4" w:space="0"/>
              <w:right w:val="single" w:color="auto" w:sz="4" w:space="0"/>
            </w:tcBorders>
            <w:vAlign w:val="center"/>
          </w:tcPr>
          <w:p w14:paraId="22E2ED75">
            <w:pPr>
              <w:jc w:val="center"/>
              <w:rPr>
                <w:rFonts w:ascii="Arial" w:hAnsi="Arial" w:cs="Arial"/>
                <w:bCs/>
                <w:sz w:val="18"/>
                <w:szCs w:val="18"/>
                <w:lang w:val="en-GB"/>
              </w:rPr>
            </w:pPr>
            <w:r>
              <w:rPr>
                <w:rFonts w:ascii="Arial" w:hAnsi="Arial" w:cs="Arial"/>
                <w:bCs/>
                <w:sz w:val="18"/>
                <w:szCs w:val="18"/>
                <w:lang w:val="en-GB"/>
              </w:rPr>
              <w:t>25</w:t>
            </w:r>
            <w:r>
              <w:rPr>
                <w:rFonts w:ascii="Arial" w:cs="Arial"/>
                <w:bCs/>
                <w:sz w:val="18"/>
                <w:szCs w:val="18"/>
                <w:lang w:val="en-GB"/>
              </w:rPr>
              <w:t>-</w:t>
            </w:r>
            <w:r>
              <w:rPr>
                <w:rFonts w:ascii="Arial" w:hAnsi="Arial" w:cs="Arial"/>
                <w:bCs/>
                <w:sz w:val="18"/>
                <w:szCs w:val="18"/>
                <w:lang w:val="en-GB"/>
              </w:rPr>
              <w:t>105</w:t>
            </w:r>
          </w:p>
        </w:tc>
        <w:tc>
          <w:tcPr>
            <w:tcW w:w="855" w:type="pct"/>
            <w:tcBorders>
              <w:top w:val="single" w:color="auto" w:sz="4" w:space="0"/>
              <w:left w:val="single" w:color="auto" w:sz="4" w:space="0"/>
              <w:bottom w:val="single" w:color="auto" w:sz="4" w:space="0"/>
              <w:right w:val="single" w:color="auto" w:sz="4" w:space="0"/>
            </w:tcBorders>
            <w:vAlign w:val="center"/>
          </w:tcPr>
          <w:p w14:paraId="741CC708">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5BDE6F91">
            <w:pPr>
              <w:jc w:val="center"/>
              <w:rPr>
                <w:rFonts w:ascii="Arial" w:hAnsi="Arial" w:cs="Arial"/>
                <w:bCs/>
                <w:sz w:val="18"/>
                <w:szCs w:val="18"/>
                <w:lang w:val="en-GB"/>
              </w:rPr>
            </w:pPr>
            <w:r>
              <w:rPr>
                <w:rFonts w:ascii="Arial" w:hAnsi="Arial" w:cs="Arial"/>
                <w:bCs/>
                <w:sz w:val="18"/>
                <w:szCs w:val="18"/>
                <w:lang w:val="en-GB"/>
              </w:rPr>
              <w:t>1</w:t>
            </w:r>
          </w:p>
        </w:tc>
        <w:tc>
          <w:tcPr>
            <w:tcW w:w="949" w:type="pct"/>
            <w:tcBorders>
              <w:top w:val="single" w:color="auto" w:sz="4" w:space="0"/>
              <w:left w:val="single" w:color="auto" w:sz="4" w:space="0"/>
              <w:bottom w:val="single" w:color="auto" w:sz="4" w:space="0"/>
              <w:right w:val="single" w:color="auto" w:sz="4" w:space="0"/>
            </w:tcBorders>
          </w:tcPr>
          <w:p w14:paraId="2F738326">
            <w:pPr>
              <w:jc w:val="center"/>
              <w:rPr>
                <w:rFonts w:ascii="Arial" w:hAnsi="Arial" w:cs="Arial"/>
                <w:bCs/>
                <w:sz w:val="18"/>
                <w:szCs w:val="18"/>
                <w:lang w:val="en-GB"/>
              </w:rPr>
            </w:pPr>
            <w:r>
              <w:rPr>
                <w:rFonts w:ascii="Arial" w:hAnsi="Arial" w:cs="Arial"/>
                <w:bCs/>
                <w:sz w:val="18"/>
                <w:szCs w:val="18"/>
                <w:lang w:val="en-GB"/>
              </w:rPr>
              <w:t>30</w:t>
            </w:r>
          </w:p>
        </w:tc>
      </w:tr>
      <w:tr w14:paraId="06F4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3699F50">
            <w:pPr>
              <w:ind w:firstLine="90" w:firstLineChars="50"/>
              <w:jc w:val="center"/>
              <w:rPr>
                <w:rFonts w:ascii="Arial" w:hAnsi="Arial" w:cs="Arial"/>
                <w:bCs/>
                <w:sz w:val="18"/>
                <w:szCs w:val="18"/>
                <w:lang w:val="en-GB"/>
              </w:rPr>
            </w:pPr>
            <w:r>
              <w:rPr>
                <w:rFonts w:ascii="Arial" w:hAnsi="Arial" w:cs="Arial"/>
                <w:bCs/>
                <w:sz w:val="18"/>
                <w:szCs w:val="18"/>
                <w:lang w:val="en-GB"/>
              </w:rPr>
              <w:t>300</w:t>
            </w:r>
          </w:p>
        </w:tc>
        <w:tc>
          <w:tcPr>
            <w:tcW w:w="855" w:type="pct"/>
            <w:tcBorders>
              <w:top w:val="single" w:color="auto" w:sz="4" w:space="0"/>
              <w:left w:val="single" w:color="auto" w:sz="4" w:space="0"/>
              <w:bottom w:val="single" w:color="auto" w:sz="4" w:space="0"/>
              <w:right w:val="single" w:color="auto" w:sz="4" w:space="0"/>
            </w:tcBorders>
            <w:vAlign w:val="center"/>
          </w:tcPr>
          <w:p w14:paraId="58602DE6">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272A5F2F">
            <w:pPr>
              <w:jc w:val="center"/>
              <w:rPr>
                <w:rFonts w:ascii="Arial" w:hAnsi="Arial" w:cs="Arial"/>
                <w:bCs/>
                <w:sz w:val="18"/>
                <w:szCs w:val="18"/>
                <w:lang w:val="en-GB"/>
              </w:rPr>
            </w:pPr>
            <w:r>
              <w:rPr>
                <w:rFonts w:ascii="Arial" w:hAnsi="Arial" w:cs="Arial"/>
                <w:bCs/>
                <w:sz w:val="18"/>
                <w:szCs w:val="18"/>
                <w:lang w:val="en-GB"/>
              </w:rPr>
              <w:t>150-400</w:t>
            </w:r>
          </w:p>
        </w:tc>
        <w:tc>
          <w:tcPr>
            <w:tcW w:w="855" w:type="pct"/>
            <w:tcBorders>
              <w:top w:val="single" w:color="auto" w:sz="4" w:space="0"/>
              <w:left w:val="single" w:color="auto" w:sz="4" w:space="0"/>
              <w:bottom w:val="single" w:color="auto" w:sz="4" w:space="0"/>
              <w:right w:val="single" w:color="auto" w:sz="4" w:space="0"/>
            </w:tcBorders>
            <w:vAlign w:val="center"/>
          </w:tcPr>
          <w:p w14:paraId="6546FF49">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53F37F78">
            <w:pPr>
              <w:jc w:val="center"/>
              <w:rPr>
                <w:rFonts w:ascii="Arial" w:hAnsi="Arial" w:cs="Arial"/>
                <w:bCs/>
                <w:sz w:val="18"/>
                <w:szCs w:val="18"/>
                <w:lang w:val="en-GB"/>
              </w:rPr>
            </w:pPr>
            <w:r>
              <w:rPr>
                <w:rFonts w:ascii="Arial" w:hAnsi="Arial" w:cs="Arial"/>
                <w:bCs/>
                <w:sz w:val="18"/>
                <w:szCs w:val="18"/>
                <w:lang w:val="en-GB"/>
              </w:rPr>
              <w:t>2</w:t>
            </w:r>
          </w:p>
        </w:tc>
        <w:tc>
          <w:tcPr>
            <w:tcW w:w="949" w:type="pct"/>
            <w:tcBorders>
              <w:top w:val="single" w:color="auto" w:sz="4" w:space="0"/>
              <w:left w:val="single" w:color="auto" w:sz="4" w:space="0"/>
              <w:bottom w:val="single" w:color="auto" w:sz="4" w:space="0"/>
              <w:right w:val="single" w:color="auto" w:sz="4" w:space="0"/>
            </w:tcBorders>
          </w:tcPr>
          <w:p w14:paraId="6F10A46F">
            <w:pPr>
              <w:jc w:val="center"/>
              <w:rPr>
                <w:rFonts w:ascii="Arial" w:hAnsi="Arial" w:cs="Arial"/>
                <w:bCs/>
                <w:sz w:val="18"/>
                <w:szCs w:val="18"/>
                <w:lang w:val="en-GB"/>
              </w:rPr>
            </w:pPr>
            <w:r>
              <w:rPr>
                <w:rFonts w:ascii="Arial" w:hAnsi="Arial" w:cs="Arial"/>
                <w:bCs/>
                <w:sz w:val="18"/>
                <w:szCs w:val="18"/>
                <w:lang w:val="en-GB"/>
              </w:rPr>
              <w:t>30</w:t>
            </w:r>
          </w:p>
        </w:tc>
      </w:tr>
      <w:tr w14:paraId="599AF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051CCC04">
            <w:pPr>
              <w:ind w:firstLine="90" w:firstLineChars="50"/>
              <w:jc w:val="center"/>
              <w:rPr>
                <w:rFonts w:ascii="Arial" w:hAnsi="Arial" w:cs="Arial"/>
                <w:bCs/>
                <w:sz w:val="18"/>
                <w:szCs w:val="18"/>
                <w:lang w:val="en-GB"/>
              </w:rPr>
            </w:pPr>
            <w:r>
              <w:rPr>
                <w:rFonts w:ascii="Arial" w:hAnsi="Arial" w:cs="Arial"/>
                <w:bCs/>
                <w:sz w:val="18"/>
                <w:szCs w:val="18"/>
                <w:lang w:val="en-GB"/>
              </w:rPr>
              <w:t>2000</w:t>
            </w:r>
          </w:p>
        </w:tc>
        <w:tc>
          <w:tcPr>
            <w:tcW w:w="855" w:type="pct"/>
            <w:tcBorders>
              <w:top w:val="single" w:color="auto" w:sz="4" w:space="0"/>
              <w:left w:val="single" w:color="auto" w:sz="4" w:space="0"/>
              <w:bottom w:val="single" w:color="auto" w:sz="4" w:space="0"/>
              <w:right w:val="single" w:color="auto" w:sz="4" w:space="0"/>
            </w:tcBorders>
            <w:vAlign w:val="center"/>
          </w:tcPr>
          <w:p w14:paraId="6A60D255">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307AFFAB">
            <w:pPr>
              <w:jc w:val="center"/>
              <w:rPr>
                <w:rFonts w:ascii="Arial" w:hAnsi="Arial" w:cs="Arial"/>
                <w:bCs/>
                <w:sz w:val="18"/>
                <w:szCs w:val="18"/>
                <w:lang w:val="en-GB"/>
              </w:rPr>
            </w:pPr>
            <w:r>
              <w:rPr>
                <w:rFonts w:ascii="Arial" w:hAnsi="Arial" w:cs="Arial"/>
                <w:bCs/>
                <w:sz w:val="18"/>
                <w:szCs w:val="18"/>
                <w:lang w:val="en-GB"/>
              </w:rPr>
              <w:t>1500-2500</w:t>
            </w:r>
          </w:p>
        </w:tc>
        <w:tc>
          <w:tcPr>
            <w:tcW w:w="855" w:type="pct"/>
            <w:tcBorders>
              <w:top w:val="single" w:color="auto" w:sz="4" w:space="0"/>
              <w:left w:val="single" w:color="auto" w:sz="4" w:space="0"/>
              <w:bottom w:val="single" w:color="auto" w:sz="4" w:space="0"/>
              <w:right w:val="single" w:color="auto" w:sz="4" w:space="0"/>
            </w:tcBorders>
            <w:vAlign w:val="center"/>
          </w:tcPr>
          <w:p w14:paraId="645DBC14">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2D515421">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tcPr>
          <w:p w14:paraId="3B72BD8C">
            <w:pPr>
              <w:jc w:val="center"/>
              <w:rPr>
                <w:rFonts w:ascii="Arial" w:hAnsi="Arial" w:cs="Arial"/>
                <w:bCs/>
                <w:sz w:val="18"/>
                <w:szCs w:val="18"/>
                <w:lang w:val="en-GB"/>
              </w:rPr>
            </w:pPr>
            <w:r>
              <w:rPr>
                <w:rFonts w:ascii="Arial" w:hAnsi="Arial" w:cs="Arial"/>
                <w:bCs/>
                <w:sz w:val="18"/>
                <w:szCs w:val="18"/>
                <w:lang w:val="en-GB"/>
              </w:rPr>
              <w:t>30</w:t>
            </w:r>
          </w:p>
        </w:tc>
      </w:tr>
      <w:tr w14:paraId="0E0FA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FA44B8F">
            <w:pPr>
              <w:ind w:firstLine="90" w:firstLineChars="50"/>
              <w:jc w:val="center"/>
              <w:rPr>
                <w:rFonts w:ascii="Arial" w:hAnsi="Arial" w:cs="Arial"/>
                <w:bCs/>
                <w:sz w:val="18"/>
                <w:szCs w:val="18"/>
                <w:lang w:val="en-GB"/>
              </w:rPr>
            </w:pPr>
            <w:r>
              <w:rPr>
                <w:rFonts w:ascii="Arial" w:hAnsi="Arial" w:cs="Arial"/>
                <w:bCs/>
                <w:sz w:val="18"/>
                <w:szCs w:val="18"/>
                <w:lang w:val="en-GB"/>
              </w:rPr>
              <w:t>6000</w:t>
            </w:r>
          </w:p>
        </w:tc>
        <w:tc>
          <w:tcPr>
            <w:tcW w:w="855" w:type="pct"/>
            <w:tcBorders>
              <w:top w:val="single" w:color="auto" w:sz="4" w:space="0"/>
              <w:left w:val="single" w:color="auto" w:sz="4" w:space="0"/>
              <w:bottom w:val="single" w:color="auto" w:sz="4" w:space="0"/>
              <w:right w:val="single" w:color="auto" w:sz="4" w:space="0"/>
            </w:tcBorders>
            <w:vAlign w:val="center"/>
          </w:tcPr>
          <w:p w14:paraId="5316AE98">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7DCC3401">
            <w:pPr>
              <w:jc w:val="center"/>
              <w:rPr>
                <w:rFonts w:ascii="Arial" w:hAnsi="Arial" w:cs="Arial"/>
                <w:bCs/>
                <w:sz w:val="18"/>
                <w:szCs w:val="18"/>
                <w:lang w:val="en-GB"/>
              </w:rPr>
            </w:pPr>
            <w:r>
              <w:rPr>
                <w:rFonts w:ascii="Arial" w:hAnsi="Arial" w:cs="Arial"/>
                <w:bCs/>
                <w:sz w:val="18"/>
                <w:szCs w:val="18"/>
                <w:lang w:val="en-GB"/>
              </w:rPr>
              <w:t>4500-6500</w:t>
            </w:r>
          </w:p>
        </w:tc>
        <w:tc>
          <w:tcPr>
            <w:tcW w:w="855" w:type="pct"/>
            <w:tcBorders>
              <w:top w:val="single" w:color="auto" w:sz="4" w:space="0"/>
              <w:left w:val="single" w:color="auto" w:sz="4" w:space="0"/>
              <w:bottom w:val="single" w:color="auto" w:sz="4" w:space="0"/>
              <w:right w:val="single" w:color="auto" w:sz="4" w:space="0"/>
            </w:tcBorders>
            <w:vAlign w:val="center"/>
          </w:tcPr>
          <w:p w14:paraId="0B91BF5F">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7F1786C1">
            <w:pPr>
              <w:jc w:val="center"/>
              <w:rPr>
                <w:rFonts w:ascii="Arial" w:hAnsi="Arial" w:cs="Arial"/>
                <w:bCs/>
                <w:sz w:val="18"/>
                <w:szCs w:val="18"/>
                <w:lang w:val="en-GB"/>
              </w:rPr>
            </w:pPr>
            <w:r>
              <w:rPr>
                <w:rFonts w:ascii="Arial" w:hAnsi="Arial" w:cs="Arial"/>
                <w:bCs/>
                <w:sz w:val="18"/>
                <w:szCs w:val="18"/>
                <w:lang w:val="en-GB"/>
              </w:rPr>
              <w:t>4</w:t>
            </w:r>
          </w:p>
        </w:tc>
        <w:tc>
          <w:tcPr>
            <w:tcW w:w="949" w:type="pct"/>
            <w:tcBorders>
              <w:top w:val="single" w:color="auto" w:sz="4" w:space="0"/>
              <w:left w:val="single" w:color="auto" w:sz="4" w:space="0"/>
              <w:bottom w:val="single" w:color="auto" w:sz="4" w:space="0"/>
              <w:right w:val="single" w:color="auto" w:sz="4" w:space="0"/>
            </w:tcBorders>
          </w:tcPr>
          <w:p w14:paraId="3267C9FB">
            <w:pPr>
              <w:jc w:val="center"/>
              <w:rPr>
                <w:rFonts w:ascii="Arial" w:hAnsi="Arial" w:cs="Arial"/>
                <w:bCs/>
                <w:sz w:val="18"/>
                <w:szCs w:val="18"/>
                <w:lang w:val="en-GB"/>
              </w:rPr>
            </w:pPr>
            <w:r>
              <w:rPr>
                <w:rFonts w:ascii="Arial" w:hAnsi="Arial" w:cs="Arial"/>
                <w:bCs/>
                <w:sz w:val="18"/>
                <w:szCs w:val="18"/>
                <w:lang w:val="en-GB"/>
              </w:rPr>
              <w:t>60</w:t>
            </w:r>
          </w:p>
        </w:tc>
      </w:tr>
      <w:tr w14:paraId="7B5AC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2FB9DD1">
            <w:pPr>
              <w:ind w:firstLine="90" w:firstLineChars="50"/>
              <w:jc w:val="center"/>
              <w:rPr>
                <w:rFonts w:ascii="Arial" w:hAnsi="Arial" w:cs="Arial"/>
                <w:bCs/>
                <w:sz w:val="18"/>
                <w:szCs w:val="18"/>
                <w:lang w:val="en-GB"/>
              </w:rPr>
            </w:pPr>
            <w:r>
              <w:rPr>
                <w:rFonts w:ascii="Arial" w:hAnsi="Arial" w:cs="Arial"/>
                <w:bCs/>
                <w:sz w:val="18"/>
                <w:szCs w:val="18"/>
                <w:lang w:val="en-GB"/>
              </w:rPr>
              <w:t>15000</w:t>
            </w:r>
          </w:p>
        </w:tc>
        <w:tc>
          <w:tcPr>
            <w:tcW w:w="855" w:type="pct"/>
            <w:tcBorders>
              <w:top w:val="single" w:color="auto" w:sz="4" w:space="0"/>
              <w:left w:val="single" w:color="auto" w:sz="4" w:space="0"/>
              <w:bottom w:val="single" w:color="auto" w:sz="4" w:space="0"/>
              <w:right w:val="single" w:color="auto" w:sz="4" w:space="0"/>
            </w:tcBorders>
            <w:vAlign w:val="center"/>
          </w:tcPr>
          <w:p w14:paraId="268B54F5">
            <w:pPr>
              <w:jc w:val="center"/>
              <w:rPr>
                <w:rFonts w:ascii="Arial" w:hAnsi="Arial" w:cs="Arial"/>
                <w:bCs/>
                <w:sz w:val="18"/>
                <w:szCs w:val="18"/>
                <w:lang w:val="en-GB"/>
              </w:rPr>
            </w:pPr>
            <w:r>
              <w:rPr>
                <w:rFonts w:ascii="Arial" w:hAnsi="Arial" w:cs="Arial"/>
                <w:bCs/>
                <w:sz w:val="18"/>
                <w:szCs w:val="18"/>
                <w:lang w:val="en-GB"/>
              </w:rPr>
              <w:t>700-1500</w:t>
            </w:r>
          </w:p>
        </w:tc>
        <w:tc>
          <w:tcPr>
            <w:tcW w:w="857" w:type="pct"/>
            <w:tcBorders>
              <w:top w:val="single" w:color="auto" w:sz="4" w:space="0"/>
              <w:left w:val="single" w:color="auto" w:sz="4" w:space="0"/>
              <w:bottom w:val="single" w:color="auto" w:sz="4" w:space="0"/>
              <w:right w:val="single" w:color="auto" w:sz="4" w:space="0"/>
            </w:tcBorders>
            <w:vAlign w:val="center"/>
          </w:tcPr>
          <w:p w14:paraId="43F325FA">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67C4F890">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783932AD">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tcPr>
          <w:p w14:paraId="011D473E">
            <w:pPr>
              <w:jc w:val="center"/>
              <w:rPr>
                <w:rFonts w:ascii="Arial" w:hAnsi="Arial" w:cs="Arial"/>
                <w:bCs/>
                <w:sz w:val="18"/>
                <w:szCs w:val="18"/>
                <w:lang w:val="en-GB"/>
              </w:rPr>
            </w:pPr>
            <w:r>
              <w:rPr>
                <w:rFonts w:ascii="Arial" w:hAnsi="Arial" w:cs="Arial"/>
                <w:bCs/>
                <w:sz w:val="18"/>
                <w:szCs w:val="18"/>
                <w:lang w:val="en-GB"/>
              </w:rPr>
              <w:t>30</w:t>
            </w:r>
          </w:p>
        </w:tc>
      </w:tr>
      <w:tr w14:paraId="3201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123A5A27">
            <w:pPr>
              <w:ind w:firstLine="90" w:firstLineChars="50"/>
              <w:jc w:val="center"/>
              <w:rPr>
                <w:rFonts w:ascii="Arial" w:hAnsi="Arial" w:cs="Arial"/>
                <w:bCs/>
                <w:sz w:val="18"/>
                <w:szCs w:val="18"/>
                <w:lang w:val="en-GB"/>
              </w:rPr>
            </w:pPr>
            <w:r>
              <w:rPr>
                <w:rFonts w:ascii="Arial" w:hAnsi="Arial" w:cs="Arial"/>
                <w:bCs/>
                <w:sz w:val="18"/>
                <w:szCs w:val="18"/>
                <w:lang w:val="en-GB"/>
              </w:rPr>
              <w:t>30000</w:t>
            </w:r>
          </w:p>
        </w:tc>
        <w:tc>
          <w:tcPr>
            <w:tcW w:w="855" w:type="pct"/>
            <w:tcBorders>
              <w:top w:val="single" w:color="auto" w:sz="4" w:space="0"/>
              <w:left w:val="single" w:color="auto" w:sz="4" w:space="0"/>
              <w:bottom w:val="single" w:color="auto" w:sz="4" w:space="0"/>
              <w:right w:val="single" w:color="auto" w:sz="4" w:space="0"/>
            </w:tcBorders>
            <w:vAlign w:val="center"/>
          </w:tcPr>
          <w:p w14:paraId="27E6803F">
            <w:pPr>
              <w:jc w:val="center"/>
              <w:rPr>
                <w:rFonts w:ascii="Arial" w:hAnsi="Arial" w:cs="Arial"/>
                <w:bCs/>
                <w:sz w:val="18"/>
                <w:szCs w:val="18"/>
                <w:lang w:val="en-GB"/>
              </w:rPr>
            </w:pPr>
            <w:r>
              <w:rPr>
                <w:rFonts w:ascii="Arial" w:hAnsi="Arial" w:cs="Arial"/>
                <w:bCs/>
                <w:sz w:val="18"/>
                <w:szCs w:val="18"/>
                <w:lang w:val="en-GB"/>
              </w:rPr>
              <w:t>1500-2400</w:t>
            </w:r>
          </w:p>
        </w:tc>
        <w:tc>
          <w:tcPr>
            <w:tcW w:w="857" w:type="pct"/>
            <w:tcBorders>
              <w:top w:val="single" w:color="auto" w:sz="4" w:space="0"/>
              <w:left w:val="single" w:color="auto" w:sz="4" w:space="0"/>
              <w:bottom w:val="single" w:color="auto" w:sz="4" w:space="0"/>
              <w:right w:val="single" w:color="auto" w:sz="4" w:space="0"/>
            </w:tcBorders>
            <w:vAlign w:val="center"/>
          </w:tcPr>
          <w:p w14:paraId="3C3D9DB9">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79C99ACE">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78CA8F02">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vAlign w:val="center"/>
          </w:tcPr>
          <w:p w14:paraId="6562D524">
            <w:pPr>
              <w:jc w:val="center"/>
              <w:rPr>
                <w:rFonts w:ascii="Arial" w:hAnsi="Arial" w:cs="Arial"/>
                <w:bCs/>
                <w:sz w:val="18"/>
                <w:szCs w:val="18"/>
                <w:lang w:val="en-GB"/>
              </w:rPr>
            </w:pPr>
            <w:r>
              <w:rPr>
                <w:rFonts w:ascii="Arial" w:hAnsi="Arial" w:cs="Arial"/>
                <w:bCs/>
                <w:sz w:val="18"/>
                <w:szCs w:val="18"/>
                <w:lang w:val="en-GB"/>
              </w:rPr>
              <w:t>30</w:t>
            </w:r>
          </w:p>
        </w:tc>
      </w:tr>
      <w:tr w14:paraId="18B6A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441E24FD">
            <w:pPr>
              <w:ind w:firstLine="90" w:firstLineChars="50"/>
              <w:jc w:val="center"/>
              <w:rPr>
                <w:rFonts w:ascii="Arial" w:hAnsi="Arial" w:cs="Arial"/>
                <w:bCs/>
                <w:sz w:val="18"/>
                <w:szCs w:val="18"/>
                <w:lang w:val="en-GB"/>
              </w:rPr>
            </w:pPr>
            <w:r>
              <w:rPr>
                <w:rFonts w:ascii="Arial" w:hAnsi="Arial" w:cs="Arial"/>
                <w:bCs/>
                <w:sz w:val="18"/>
                <w:szCs w:val="18"/>
                <w:lang w:val="en-GB"/>
              </w:rPr>
              <w:t>50000</w:t>
            </w:r>
          </w:p>
        </w:tc>
        <w:tc>
          <w:tcPr>
            <w:tcW w:w="855" w:type="pct"/>
            <w:tcBorders>
              <w:top w:val="single" w:color="auto" w:sz="4" w:space="0"/>
              <w:left w:val="single" w:color="auto" w:sz="4" w:space="0"/>
              <w:bottom w:val="single" w:color="auto" w:sz="4" w:space="0"/>
              <w:right w:val="single" w:color="auto" w:sz="4" w:space="0"/>
            </w:tcBorders>
            <w:vAlign w:val="center"/>
          </w:tcPr>
          <w:p w14:paraId="7C06AA8B">
            <w:pPr>
              <w:jc w:val="center"/>
              <w:rPr>
                <w:rFonts w:ascii="Arial" w:hAnsi="Arial" w:cs="Arial"/>
                <w:bCs/>
                <w:sz w:val="18"/>
                <w:szCs w:val="18"/>
                <w:lang w:val="en-GB"/>
              </w:rPr>
            </w:pPr>
            <w:r>
              <w:rPr>
                <w:rFonts w:ascii="Arial" w:hAnsi="Arial" w:cs="Arial"/>
                <w:bCs/>
                <w:sz w:val="18"/>
                <w:szCs w:val="18"/>
                <w:lang w:val="en-GB"/>
              </w:rPr>
              <w:t>2400-3300</w:t>
            </w:r>
          </w:p>
        </w:tc>
        <w:tc>
          <w:tcPr>
            <w:tcW w:w="857" w:type="pct"/>
            <w:tcBorders>
              <w:top w:val="single" w:color="auto" w:sz="4" w:space="0"/>
              <w:left w:val="single" w:color="auto" w:sz="4" w:space="0"/>
              <w:bottom w:val="single" w:color="auto" w:sz="4" w:space="0"/>
              <w:right w:val="single" w:color="auto" w:sz="4" w:space="0"/>
            </w:tcBorders>
            <w:vAlign w:val="center"/>
          </w:tcPr>
          <w:p w14:paraId="62FC6A26">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08662F0A">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5D182A30">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vAlign w:val="center"/>
          </w:tcPr>
          <w:p w14:paraId="35B7B58C">
            <w:pPr>
              <w:jc w:val="center"/>
              <w:rPr>
                <w:rFonts w:ascii="Arial" w:hAnsi="Arial" w:cs="Arial"/>
                <w:bCs/>
                <w:sz w:val="18"/>
                <w:szCs w:val="18"/>
                <w:lang w:val="en-GB"/>
              </w:rPr>
            </w:pPr>
            <w:r>
              <w:rPr>
                <w:rFonts w:ascii="Arial" w:hAnsi="Arial" w:cs="Arial"/>
                <w:bCs/>
                <w:sz w:val="18"/>
                <w:szCs w:val="18"/>
                <w:lang w:val="en-GB"/>
              </w:rPr>
              <w:t>30</w:t>
            </w:r>
          </w:p>
        </w:tc>
      </w:tr>
      <w:tr w14:paraId="74F43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1C26CC26">
            <w:pPr>
              <w:ind w:firstLine="90" w:firstLineChars="50"/>
              <w:jc w:val="center"/>
              <w:rPr>
                <w:rFonts w:ascii="Arial" w:hAnsi="Arial" w:cs="Arial"/>
                <w:bCs/>
                <w:sz w:val="18"/>
                <w:szCs w:val="18"/>
                <w:lang w:val="en-GB"/>
              </w:rPr>
            </w:pPr>
            <w:r>
              <w:rPr>
                <w:rFonts w:ascii="Arial" w:hAnsi="Arial" w:cs="Arial"/>
                <w:bCs/>
                <w:sz w:val="18"/>
                <w:szCs w:val="18"/>
                <w:lang w:val="en-GB"/>
              </w:rPr>
              <w:t>100000</w:t>
            </w:r>
          </w:p>
        </w:tc>
        <w:tc>
          <w:tcPr>
            <w:tcW w:w="855" w:type="pct"/>
            <w:tcBorders>
              <w:top w:val="single" w:color="auto" w:sz="4" w:space="0"/>
              <w:left w:val="single" w:color="auto" w:sz="4" w:space="0"/>
              <w:bottom w:val="single" w:color="auto" w:sz="4" w:space="0"/>
              <w:right w:val="single" w:color="auto" w:sz="4" w:space="0"/>
            </w:tcBorders>
            <w:vAlign w:val="center"/>
          </w:tcPr>
          <w:p w14:paraId="41175AD4">
            <w:pPr>
              <w:jc w:val="center"/>
              <w:rPr>
                <w:rFonts w:ascii="Arial" w:hAnsi="Arial" w:cs="Arial"/>
                <w:bCs/>
                <w:sz w:val="18"/>
                <w:szCs w:val="18"/>
                <w:lang w:val="en-GB"/>
              </w:rPr>
            </w:pPr>
            <w:r>
              <w:rPr>
                <w:rFonts w:ascii="Arial" w:hAnsi="Arial" w:cs="Arial"/>
                <w:bCs/>
                <w:sz w:val="18"/>
                <w:szCs w:val="18"/>
                <w:lang w:val="en-GB"/>
              </w:rPr>
              <w:t>3300-6000</w:t>
            </w:r>
          </w:p>
        </w:tc>
        <w:tc>
          <w:tcPr>
            <w:tcW w:w="857" w:type="pct"/>
            <w:tcBorders>
              <w:top w:val="single" w:color="auto" w:sz="4" w:space="0"/>
              <w:left w:val="single" w:color="auto" w:sz="4" w:space="0"/>
              <w:bottom w:val="single" w:color="auto" w:sz="4" w:space="0"/>
              <w:right w:val="single" w:color="auto" w:sz="4" w:space="0"/>
            </w:tcBorders>
            <w:vAlign w:val="center"/>
          </w:tcPr>
          <w:p w14:paraId="5734D869">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5AF9FDE7">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73B2DCFE">
            <w:pPr>
              <w:jc w:val="center"/>
              <w:rPr>
                <w:rFonts w:ascii="Arial" w:hAnsi="Arial" w:cs="Arial"/>
                <w:bCs/>
                <w:sz w:val="18"/>
                <w:szCs w:val="18"/>
                <w:lang w:val="en-GB"/>
              </w:rPr>
            </w:pPr>
            <w:r>
              <w:rPr>
                <w:rFonts w:ascii="Arial" w:hAnsi="Arial" w:cs="Arial"/>
                <w:bCs/>
                <w:sz w:val="18"/>
                <w:szCs w:val="18"/>
                <w:lang w:val="en-GB"/>
              </w:rPr>
              <w:t>4</w:t>
            </w:r>
          </w:p>
        </w:tc>
        <w:tc>
          <w:tcPr>
            <w:tcW w:w="949" w:type="pct"/>
            <w:tcBorders>
              <w:top w:val="single" w:color="auto" w:sz="4" w:space="0"/>
              <w:left w:val="single" w:color="auto" w:sz="4" w:space="0"/>
              <w:bottom w:val="single" w:color="auto" w:sz="4" w:space="0"/>
              <w:right w:val="single" w:color="auto" w:sz="4" w:space="0"/>
            </w:tcBorders>
            <w:vAlign w:val="center"/>
          </w:tcPr>
          <w:p w14:paraId="1E2B76A1">
            <w:pPr>
              <w:jc w:val="center"/>
              <w:rPr>
                <w:rFonts w:ascii="Arial" w:hAnsi="Arial" w:cs="Arial"/>
                <w:bCs/>
                <w:sz w:val="18"/>
                <w:szCs w:val="18"/>
                <w:lang w:val="en-GB"/>
              </w:rPr>
            </w:pPr>
            <w:r>
              <w:rPr>
                <w:rFonts w:ascii="Arial" w:hAnsi="Arial" w:cs="Arial"/>
                <w:bCs/>
                <w:sz w:val="18"/>
                <w:szCs w:val="18"/>
                <w:lang w:val="en-GB"/>
              </w:rPr>
              <w:t>30</w:t>
            </w:r>
          </w:p>
        </w:tc>
      </w:tr>
    </w:tbl>
    <w:p w14:paraId="5A4FCA23">
      <w:pPr>
        <w:rPr>
          <w:rFonts w:ascii="Arial" w:hAnsi="Arial" w:cs="Arial"/>
          <w:bCs/>
          <w:szCs w:val="21"/>
        </w:rPr>
      </w:pPr>
      <w:r>
        <w:rPr>
          <w:rFonts w:ascii="Arial" w:hAnsi="Arial" w:cs="Arial"/>
          <w:szCs w:val="21"/>
        </w:rPr>
        <w:t xml:space="preserve">Attention: </w:t>
      </w:r>
      <w:r>
        <w:rPr>
          <w:rFonts w:ascii="Arial" w:hAnsi="Arial" w:cs="Arial"/>
          <w:bCs/>
          <w:szCs w:val="21"/>
        </w:rPr>
        <w:t>The above viscosity values are all obtained using Brookfield Viscometer at 25</w:t>
      </w:r>
      <w:r>
        <w:rPr>
          <w:rFonts w:hint="eastAsia" w:ascii="Arial" w:hAnsi="宋体" w:cs="Arial"/>
          <w:bCs/>
          <w:szCs w:val="21"/>
        </w:rPr>
        <w:t>℃</w:t>
      </w:r>
      <w:r>
        <w:rPr>
          <w:rFonts w:ascii="Arial" w:hAnsi="Arial" w:cs="Arial"/>
          <w:bCs/>
          <w:szCs w:val="21"/>
        </w:rPr>
        <w:t>, LVD.</w:t>
      </w:r>
    </w:p>
    <w:p w14:paraId="1D7EE518">
      <w:pPr>
        <w:numPr>
          <w:ilvl w:val="0"/>
          <w:numId w:val="0"/>
        </w:numPr>
        <w:ind w:leftChars="0"/>
        <w:rPr>
          <w:rFonts w:hint="eastAsia" w:ascii="Arial" w:hAnsi="Arial" w:cs="Arial"/>
          <w:b/>
          <w:highlight w:val="none"/>
          <w:lang w:val="en-US" w:eastAsia="zh-CN"/>
        </w:rPr>
      </w:pPr>
    </w:p>
    <w:p w14:paraId="43F665EA">
      <w:pPr>
        <w:numPr>
          <w:ilvl w:val="0"/>
          <w:numId w:val="0"/>
        </w:numPr>
        <w:ind w:leftChars="0"/>
        <w:rPr>
          <w:rFonts w:hint="default" w:ascii="Arial" w:hAnsi="Arial" w:cs="Arial"/>
          <w:b/>
          <w:highlight w:val="none"/>
          <w:lang w:val="en-US" w:eastAsia="zh-CN"/>
        </w:rPr>
      </w:pPr>
      <w:r>
        <w:rPr>
          <w:rFonts w:hint="eastAsia" w:ascii="Arial" w:hAnsi="Arial" w:cs="Arial"/>
          <w:b/>
          <w:highlight w:val="none"/>
          <w:lang w:val="en-US" w:eastAsia="zh-CN"/>
        </w:rPr>
        <w:t>[Product applications]</w:t>
      </w:r>
    </w:p>
    <w:p w14:paraId="422BC4C2">
      <w:pPr>
        <w:numPr>
          <w:ilvl w:val="0"/>
          <w:numId w:val="0"/>
        </w:numPr>
        <w:ind w:leftChars="0"/>
        <w:rPr>
          <w:rFonts w:hint="default" w:ascii="Arial" w:hAnsi="Arial" w:cs="Arial"/>
          <w:b/>
          <w:highlight w:val="none"/>
          <w:u w:val="none"/>
          <w:lang w:val="en-US" w:eastAsia="zh-CN"/>
        </w:rPr>
      </w:pPr>
      <w:r>
        <w:rPr>
          <w:rFonts w:ascii="Arial" w:hAnsi="Arial" w:cs="Arial"/>
          <w:b/>
          <w:bCs/>
          <w:i/>
          <w:iCs/>
          <w:u w:val="none"/>
        </w:rPr>
        <w:t>Latex paint</w:t>
      </w:r>
    </w:p>
    <w:p w14:paraId="01D361C5">
      <w:pPr>
        <w:rPr>
          <w:rFonts w:ascii="Arial" w:hAnsi="Arial" w:cs="Arial"/>
        </w:rPr>
      </w:pPr>
      <w:r>
        <w:rPr>
          <w:rFonts w:ascii="Arial" w:hAnsi="Arial" w:cs="Arial"/>
        </w:rPr>
        <w:t xml:space="preserve">HEC is the most commonly used thickener in Latex painting. In addition to thickening to the latex paint, it has functions of emulsifying, dispersing, stabilizing and water-retaining. It is characterized by the significant thickening effect, excellent color development, film forming and storage stability. </w:t>
      </w:r>
      <w:bookmarkStart w:id="3" w:name="_GoBack"/>
      <w:bookmarkEnd w:id="3"/>
    </w:p>
    <w:p w14:paraId="1D6BF171">
      <w:pPr>
        <w:numPr>
          <w:ilvl w:val="0"/>
          <w:numId w:val="0"/>
        </w:numPr>
        <w:ind w:leftChars="0"/>
        <w:rPr>
          <w:rFonts w:ascii="Arial" w:hAnsi="Arial" w:cs="Arial"/>
          <w:b/>
          <w:bCs/>
          <w:i/>
          <w:iCs/>
          <w:u w:val="none"/>
        </w:rPr>
      </w:pPr>
      <w:r>
        <w:rPr>
          <w:rFonts w:ascii="Arial" w:hAnsi="Arial" w:cs="Arial"/>
          <w:b/>
          <w:bCs/>
          <w:i/>
          <w:iCs/>
          <w:u w:val="none"/>
        </w:rPr>
        <w:t>Oil drilling</w:t>
      </w:r>
    </w:p>
    <w:p w14:paraId="64368304">
      <w:pPr>
        <w:ind w:firstLine="420" w:firstLineChars="200"/>
        <w:rPr>
          <w:rFonts w:ascii="Arial" w:hAnsi="Arial" w:cs="Arial"/>
        </w:rPr>
      </w:pPr>
      <w:r>
        <w:rPr>
          <w:rFonts w:ascii="Arial" w:hAnsi="Arial" w:cs="Arial"/>
        </w:rPr>
        <w:t xml:space="preserve">In oil drilling industry, high-viscosity HEC is mainly used as thickener in completion and finishing fluid; while low-viscosity HEC is mainly used as water loss controller. HEC used as thickener will impart good mobility and stability to various slurries necessary for drilling, completion, cementing and fracturing operations. In drilling, </w:t>
      </w:r>
    </w:p>
    <w:p w14:paraId="1F7535ED">
      <w:pPr>
        <w:numPr>
          <w:ilvl w:val="0"/>
          <w:numId w:val="0"/>
        </w:numPr>
        <w:ind w:leftChars="0"/>
        <w:rPr>
          <w:rFonts w:ascii="Arial" w:hAnsi="Arial" w:cs="Arial"/>
          <w:b/>
          <w:bCs/>
          <w:i/>
          <w:iCs/>
          <w:u w:val="none"/>
        </w:rPr>
      </w:pPr>
      <w:r>
        <w:rPr>
          <w:rFonts w:ascii="Arial" w:hAnsi="Arial" w:cs="Arial"/>
          <w:b/>
          <w:bCs/>
          <w:i/>
          <w:iCs/>
          <w:u w:val="none"/>
        </w:rPr>
        <w:t>Daily-use chemical industry</w:t>
      </w:r>
    </w:p>
    <w:p w14:paraId="31E22F47">
      <w:pPr>
        <w:ind w:firstLine="420" w:firstLineChars="200"/>
        <w:rPr>
          <w:rFonts w:ascii="Arial" w:hAnsi="Arial" w:cs="Arial"/>
        </w:rPr>
      </w:pPr>
      <w:r>
        <w:rPr>
          <w:rFonts w:ascii="Arial" w:hAnsi="Arial" w:cs="Arial"/>
        </w:rPr>
        <w:t xml:space="preserve">In shampoo, hair spray, neutralizer, conditioner and cosmetics, HEC is an effective film former, binder, thickener, stabilizer and disperser. In powder detergent, it is a dirt anti-deposition agent. The detergent containing HEC has the unique feature of improving smoothness and silkiness of the fabrics. </w:t>
      </w:r>
    </w:p>
    <w:p w14:paraId="7C1A18A5">
      <w:pPr>
        <w:numPr>
          <w:ilvl w:val="0"/>
          <w:numId w:val="0"/>
        </w:numPr>
        <w:ind w:leftChars="0"/>
        <w:rPr>
          <w:rFonts w:ascii="Arial" w:hAnsi="Arial" w:cs="Arial"/>
          <w:b/>
          <w:bCs/>
          <w:i/>
          <w:iCs/>
          <w:u w:val="none"/>
        </w:rPr>
      </w:pPr>
      <w:r>
        <w:rPr>
          <w:rFonts w:ascii="Arial" w:hAnsi="Arial" w:cs="Arial"/>
          <w:b/>
          <w:bCs/>
          <w:i/>
          <w:iCs/>
          <w:u w:val="none"/>
        </w:rPr>
        <w:t>Paper and Printing Ink</w:t>
      </w:r>
    </w:p>
    <w:p w14:paraId="796A3CB0">
      <w:pPr>
        <w:ind w:firstLine="420" w:firstLineChars="200"/>
        <w:rPr>
          <w:rFonts w:hint="default" w:ascii="Arial" w:hAnsi="Arial" w:cs="Arial"/>
          <w:lang w:val="en-US" w:eastAsia="zh-CN"/>
        </w:rPr>
      </w:pPr>
      <w:r>
        <w:rPr>
          <w:rFonts w:hint="default" w:ascii="Arial" w:hAnsi="Arial" w:cs="Arial"/>
          <w:lang w:val="en-US" w:eastAsia="zh-CN"/>
        </w:rPr>
        <w:t>HEC can be used as a sizing agent on paper and paperboard and as a thickener and suspending agent for water-based inks.</w:t>
      </w:r>
    </w:p>
    <w:p w14:paraId="390AF49A">
      <w:pPr>
        <w:numPr>
          <w:ilvl w:val="0"/>
          <w:numId w:val="0"/>
        </w:numPr>
        <w:ind w:leftChars="0"/>
        <w:rPr>
          <w:rFonts w:ascii="Arial" w:hAnsi="Arial" w:cs="Arial"/>
          <w:b/>
          <w:color w:val="auto"/>
          <w:szCs w:val="21"/>
          <w:highlight w:val="none"/>
          <w:u w:val="none"/>
        </w:rPr>
      </w:pPr>
      <w:r>
        <w:rPr>
          <w:rFonts w:ascii="Arial" w:hAnsi="Arial" w:cs="Arial"/>
          <w:b/>
          <w:bCs/>
          <w:i/>
          <w:iCs/>
          <w:u w:val="none"/>
        </w:rPr>
        <w:t>Construction</w:t>
      </w:r>
    </w:p>
    <w:p w14:paraId="669DD1C4">
      <w:pPr>
        <w:ind w:firstLine="420" w:firstLineChars="200"/>
        <w:rPr>
          <w:rFonts w:ascii="Arial" w:hAnsi="Arial" w:cs="Arial"/>
          <w:b/>
          <w:bCs/>
          <w:i/>
          <w:iCs/>
          <w:u w:val="single"/>
        </w:rPr>
      </w:pPr>
      <w:r>
        <w:rPr>
          <w:rFonts w:ascii="Arial" w:hAnsi="Arial" w:cs="Arial"/>
        </w:rPr>
        <w:t xml:space="preserve">Used in construction formulations such as concrete mixture, fresh mortar, gypsum plaster or clay, HEC acts as a water retaining agent during applying prior to solidifying of these compositions. Beside improving the water retention of construction formulations, HEC could also extend the open and trowelling time of plaster or clay and reduce occurrence of crusting, slipping and sagging, thus improving the workability and efficiency and saving time, and meanwhile, raising the compatibilization rate of plaster, thus saving raw materials. </w:t>
      </w:r>
    </w:p>
    <w:p w14:paraId="7AFD4ED7">
      <w:pPr>
        <w:numPr>
          <w:ilvl w:val="0"/>
          <w:numId w:val="0"/>
        </w:numPr>
        <w:ind w:leftChars="0"/>
        <w:rPr>
          <w:rFonts w:ascii="Arial" w:hAnsi="Arial" w:cs="Arial"/>
          <w:b/>
          <w:color w:val="auto"/>
          <w:szCs w:val="21"/>
          <w:highlight w:val="none"/>
        </w:rPr>
      </w:pPr>
    </w:p>
    <w:p w14:paraId="676EAE81">
      <w:pPr>
        <w:numPr>
          <w:ilvl w:val="0"/>
          <w:numId w:val="0"/>
        </w:numPr>
        <w:ind w:leftChars="0"/>
        <w:rPr>
          <w:rFonts w:ascii="Arial" w:hAnsi="Arial" w:cs="Arial"/>
          <w:b/>
          <w:color w:val="auto"/>
          <w:szCs w:val="21"/>
          <w:highlight w:val="none"/>
        </w:rPr>
      </w:pPr>
    </w:p>
    <w:p w14:paraId="04BC797A">
      <w:pPr>
        <w:rPr>
          <w:rFonts w:hint="eastAsia" w:ascii="楷体" w:hAnsi="楷体" w:eastAsia="楷体"/>
          <w:b/>
          <w:bCs/>
          <w:sz w:val="24"/>
          <w:lang w:val="en-US" w:eastAsia="zh-CN"/>
        </w:rPr>
      </w:pPr>
      <w:r>
        <w:rPr>
          <w:rFonts w:hint="eastAsia" w:ascii="楷体" w:hAnsi="楷体" w:eastAsia="楷体"/>
          <w:b/>
          <w:bCs/>
          <w:sz w:val="24"/>
          <w:lang w:val="en-US" w:eastAsia="zh-CN"/>
        </w:rPr>
        <w:t>【</w:t>
      </w:r>
      <w:r>
        <w:rPr>
          <w:rFonts w:ascii="Arial" w:hAnsi="Arial" w:cs="Arial"/>
          <w:b/>
          <w:bCs/>
          <w:highlight w:val="none"/>
        </w:rPr>
        <w:t>Packaging</w:t>
      </w:r>
      <w:r>
        <w:rPr>
          <w:rFonts w:hint="eastAsia" w:ascii="Arial" w:hAnsi="Arial" w:cs="Arial"/>
          <w:b/>
          <w:bCs/>
          <w:highlight w:val="none"/>
          <w:lang w:val="en-US" w:eastAsia="zh-CN"/>
        </w:rPr>
        <w:t>&amp;</w:t>
      </w:r>
      <w:r>
        <w:rPr>
          <w:rFonts w:hint="eastAsia" w:ascii="Arial" w:hAnsi="Arial" w:cs="Arial"/>
          <w:b/>
          <w:bCs/>
          <w:highlight w:val="none"/>
        </w:rPr>
        <w:t>Note</w:t>
      </w:r>
      <w:r>
        <w:rPr>
          <w:rFonts w:hint="eastAsia" w:ascii="楷体" w:hAnsi="楷体" w:eastAsia="楷体"/>
          <w:b/>
          <w:bCs/>
          <w:sz w:val="24"/>
          <w:lang w:val="en-US" w:eastAsia="zh-CN"/>
        </w:rPr>
        <w:t>】</w:t>
      </w:r>
    </w:p>
    <w:p w14:paraId="4900E5C6">
      <w:pPr>
        <w:autoSpaceDE w:val="0"/>
        <w:autoSpaceDN w:val="0"/>
        <w:adjustRightInd w:val="0"/>
        <w:spacing w:line="295" w:lineRule="exact"/>
        <w:ind w:right="-20"/>
        <w:jc w:val="left"/>
        <w:rPr>
          <w:rFonts w:hint="eastAsia" w:ascii="Arial" w:eastAsia="宋体" w:cs="Arial"/>
          <w:szCs w:val="21"/>
          <w:lang w:eastAsia="zh-CN"/>
        </w:rPr>
      </w:pPr>
      <w:r>
        <w:rPr>
          <w:rFonts w:ascii="Arial" w:cs="Arial"/>
          <w:szCs w:val="21"/>
        </w:rPr>
        <w:t>N.W.: 25</w:t>
      </w:r>
      <w:r>
        <w:rPr>
          <w:rFonts w:hint="eastAsia" w:ascii="宋体" w:hAnsi="宋体" w:cs="Arial"/>
          <w:szCs w:val="21"/>
        </w:rPr>
        <w:t>±</w:t>
      </w:r>
      <w:r>
        <w:rPr>
          <w:rFonts w:ascii="Arial" w:cs="Arial"/>
          <w:szCs w:val="21"/>
        </w:rPr>
        <w:t>0.25kg / package</w:t>
      </w:r>
    </w:p>
    <w:p w14:paraId="73F8E73D">
      <w:pPr>
        <w:rPr>
          <w:rFonts w:ascii="Arial" w:hAnsi="Arial" w:cs="Arial"/>
          <w:szCs w:val="21"/>
        </w:rPr>
      </w:pPr>
      <w:r>
        <w:rPr>
          <w:rFonts w:ascii="Arial" w:hAnsi="Arial" w:cs="Arial"/>
          <w:szCs w:val="21"/>
        </w:rPr>
        <w:t>Inner: Polyethylene plastic film bag</w:t>
      </w:r>
    </w:p>
    <w:p w14:paraId="66E415DA">
      <w:pPr>
        <w:rPr>
          <w:rFonts w:ascii="Arial" w:hAnsi="Arial" w:cs="Arial"/>
          <w:szCs w:val="21"/>
        </w:rPr>
      </w:pPr>
      <w:r>
        <w:rPr>
          <w:rFonts w:ascii="Arial" w:hAnsi="Arial" w:cs="Arial"/>
          <w:szCs w:val="21"/>
        </w:rPr>
        <w:t>Outer: Three-in-one composite paper bag or barrel</w:t>
      </w:r>
    </w:p>
    <w:p w14:paraId="3362D9BE">
      <w:pPr>
        <w:numPr>
          <w:ilvl w:val="0"/>
          <w:numId w:val="0"/>
        </w:numPr>
        <w:rPr>
          <w:rFonts w:ascii="Arial" w:hAnsi="Arial" w:cs="Arial"/>
          <w:szCs w:val="21"/>
        </w:rPr>
      </w:pPr>
    </w:p>
    <w:p w14:paraId="2A82BF33">
      <w:pPr>
        <w:numPr>
          <w:ilvl w:val="0"/>
          <w:numId w:val="0"/>
        </w:numPr>
        <w:rPr>
          <w:rFonts w:ascii="Arial" w:hAnsi="Arial" w:cs="Arial"/>
          <w:szCs w:val="21"/>
        </w:rPr>
      </w:pPr>
      <w:r>
        <w:rPr>
          <w:rFonts w:ascii="Arial" w:hAnsi="Arial" w:cs="Arial"/>
          <w:szCs w:val="21"/>
        </w:rPr>
        <w:t>Keep away from rain, sunshine and hook during transportation.</w:t>
      </w:r>
    </w:p>
    <w:p w14:paraId="30617936">
      <w:pPr>
        <w:numPr>
          <w:ilvl w:val="0"/>
          <w:numId w:val="0"/>
        </w:numPr>
        <w:rPr>
          <w:rFonts w:ascii="Arial" w:hAnsi="Arial" w:cs="Arial"/>
          <w:szCs w:val="21"/>
        </w:rPr>
      </w:pPr>
      <w:r>
        <w:rPr>
          <w:rFonts w:ascii="Arial" w:hAnsi="Arial" w:cs="Arial"/>
          <w:szCs w:val="21"/>
        </w:rPr>
        <w:t>Store in a ventilated/dry place, avoid moisture, don’t store together with other chemicals.</w:t>
      </w:r>
    </w:p>
    <w:p w14:paraId="16B76D8B">
      <w:pPr>
        <w:numPr>
          <w:ilvl w:val="0"/>
          <w:numId w:val="0"/>
        </w:numPr>
        <w:rPr>
          <w:rFonts w:hint="default" w:ascii="Arial" w:hAnsi="Arial" w:cs="Arial"/>
          <w:bCs/>
          <w:szCs w:val="21"/>
          <w:lang w:val="en-US" w:eastAsia="zh-CN"/>
        </w:rPr>
      </w:pPr>
      <w:r>
        <w:rPr>
          <w:rFonts w:ascii="Arial" w:hAnsi="Arial" w:cs="Arial"/>
          <w:szCs w:val="21"/>
        </w:rPr>
        <w:t>Easy to absorb moisture. Please seal and pack after opening and store in a dry place.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B787D"/>
    <w:rsid w:val="2C855654"/>
    <w:rsid w:val="3D5B787D"/>
    <w:rsid w:val="5F6379A5"/>
    <w:rsid w:val="71D9247D"/>
    <w:rsid w:val="7FF23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603</Words>
  <Characters>3310</Characters>
  <Lines>0</Lines>
  <Paragraphs>0</Paragraphs>
  <TotalTime>6</TotalTime>
  <ScaleCrop>false</ScaleCrop>
  <LinksUpToDate>false</LinksUpToDate>
  <CharactersWithSpaces>3825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2025-07-23T06:53:00Z</dcterms:created>
  <dc:creator>@.@</dc:creator>
  <cp:lastModifiedBy>微信用户</cp:lastModifiedBy>
  <dcterms:modified xsi:type="dcterms:W3CDTF">2025-07-24T02:13:35Z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FDB116B41EA9456B8F780AA579625A78_13</vt:lpwstr>
  </property>
  <property fmtid="{D5CDD505-2E9C-101B-9397-08002B2CF9AE}" pid="4" name="KSOTemplateDocerSaveRecord">
    <vt:lpwstr>eyJoZGlkIjoiMDcwOGQ4Mzg2ZDc4NmRmNjhmNTFlOWE2ZmM5NzEyMDIiLCJ1c2VySWQiOiIxMjQ3NzcyODk4In0=</vt:lpwstr>
  </property>
</Properties>
</file>